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D0D6E" w14:textId="303F2C65" w:rsidR="008E5C9D" w:rsidRPr="00E86BE9" w:rsidRDefault="0092498E" w:rsidP="00E86BE9">
      <w:pPr>
        <w:spacing w:line="360" w:lineRule="auto"/>
        <w:jc w:val="center"/>
        <w:rPr>
          <w:rFonts w:ascii="Times New Roman" w:hAnsi="Times New Roman" w:cs="Times New Roman"/>
          <w:sz w:val="44"/>
          <w:szCs w:val="44"/>
        </w:rPr>
      </w:pPr>
      <w:r w:rsidRPr="00E86BE9">
        <w:rPr>
          <w:rFonts w:ascii="Times New Roman" w:hAnsi="Times New Roman" w:cs="Times New Roman"/>
          <w:b/>
          <w:sz w:val="32"/>
          <w:szCs w:val="40"/>
        </w:rPr>
        <w:fldChar w:fldCharType="begin"/>
      </w:r>
      <w:r w:rsidRPr="00E86BE9">
        <w:rPr>
          <w:rFonts w:ascii="Times New Roman" w:hAnsi="Times New Roman" w:cs="Times New Roman"/>
          <w:b/>
          <w:sz w:val="32"/>
          <w:szCs w:val="40"/>
        </w:rPr>
        <w:instrText xml:space="preserve"> HYPERLINK "https://www.baidu.com/link?url=vFOfoMFwWDaYLOTDS8Lqjn8kTOpedpA4P2X8HJUXz-mhMacnLx1Elb-TiwgMfA6iRULDP9WodonNMBAupm_eYqUpImIrVKDHgQKLYcZPXVk6MSGzRlObngMSI4XwFQ7a&amp;wd=&amp;eqid=ad7b15c10001a275000000036437c343" \t "_blank" </w:instrText>
      </w:r>
      <w:r w:rsidRPr="00E86BE9">
        <w:rPr>
          <w:rFonts w:ascii="Times New Roman" w:hAnsi="Times New Roman" w:cs="Times New Roman"/>
          <w:b/>
          <w:sz w:val="32"/>
          <w:szCs w:val="40"/>
        </w:rPr>
        <w:fldChar w:fldCharType="separate"/>
      </w:r>
      <w:r w:rsidRPr="00E86BE9">
        <w:rPr>
          <w:rFonts w:ascii="Times New Roman" w:hAnsi="Times New Roman" w:cs="Times New Roman"/>
          <w:b/>
          <w:sz w:val="32"/>
          <w:szCs w:val="40"/>
        </w:rPr>
        <w:t>Supplementary </w:t>
      </w:r>
      <w:r w:rsidRPr="00E86BE9">
        <w:rPr>
          <w:rFonts w:ascii="Times New Roman" w:hAnsi="Times New Roman" w:cs="Times New Roman"/>
          <w:b/>
          <w:sz w:val="32"/>
          <w:szCs w:val="40"/>
        </w:rPr>
        <w:fldChar w:fldCharType="end"/>
      </w:r>
      <w:r w:rsidR="00996D18" w:rsidRPr="00E86BE9">
        <w:rPr>
          <w:rFonts w:ascii="Times New Roman" w:hAnsi="Times New Roman" w:cs="Times New Roman"/>
          <w:b/>
          <w:sz w:val="32"/>
          <w:szCs w:val="40"/>
        </w:rPr>
        <w:t>Materials and Methods</w:t>
      </w:r>
    </w:p>
    <w:p w14:paraId="7D28EDAE" w14:textId="77777777" w:rsidR="008E5C9D" w:rsidRPr="00E86BE9" w:rsidRDefault="00996D18" w:rsidP="00E86BE9">
      <w:pPr>
        <w:numPr>
          <w:ilvl w:val="0"/>
          <w:numId w:val="1"/>
        </w:numPr>
        <w:spacing w:line="360" w:lineRule="auto"/>
        <w:jc w:val="center"/>
        <w:rPr>
          <w:rFonts w:ascii="Times New Roman" w:hAnsi="Times New Roman" w:cs="Times New Roman"/>
          <w:b/>
          <w:bCs/>
          <w:szCs w:val="21"/>
        </w:rPr>
      </w:pPr>
      <w:r w:rsidRPr="00E86BE9">
        <w:rPr>
          <w:rFonts w:ascii="Times New Roman" w:hAnsi="Times New Roman" w:cs="Times New Roman" w:hint="eastAsia"/>
          <w:b/>
          <w:bCs/>
          <w:szCs w:val="21"/>
        </w:rPr>
        <w:t>Materials</w:t>
      </w:r>
    </w:p>
    <w:p w14:paraId="115EB129" w14:textId="21565969" w:rsidR="008E5C9D" w:rsidRDefault="00996D18" w:rsidP="00C04A96">
      <w:pPr>
        <w:spacing w:line="360" w:lineRule="auto"/>
        <w:rPr>
          <w:rFonts w:ascii="Times New Roman" w:hAnsi="Times New Roman" w:cs="Times New Roman"/>
          <w:kern w:val="0"/>
          <w:szCs w:val="21"/>
        </w:rPr>
      </w:pPr>
      <w:r w:rsidRPr="00E86BE9">
        <w:rPr>
          <w:rFonts w:ascii="Times New Roman" w:hAnsi="Times New Roman" w:cs="Times New Roman"/>
          <w:szCs w:val="21"/>
        </w:rPr>
        <w:t>Nineteen cored wells located at areas that close to the main strike-slip faults (F1, F3, F5, F8, and F11) were selected to study the history of fault activities and provide constrains for cavern reservoir formation and petroleum accumulation history. We have investigated approximate 240 m cored sections mainly obtained from the Middle Ordovician intervals, some of which are very close to the production zone characterized by considerable lost circulation and/or bit drops (Fig</w:t>
      </w:r>
      <w:r w:rsidR="00E86BE9">
        <w:rPr>
          <w:rFonts w:ascii="Times New Roman" w:hAnsi="Times New Roman" w:cs="Times New Roman"/>
          <w:szCs w:val="21"/>
        </w:rPr>
        <w:t>.</w:t>
      </w:r>
      <w:r w:rsidRPr="00E86BE9">
        <w:rPr>
          <w:rFonts w:ascii="Times New Roman" w:hAnsi="Times New Roman" w:cs="Times New Roman"/>
          <w:szCs w:val="21"/>
        </w:rPr>
        <w:t xml:space="preserve"> </w:t>
      </w:r>
      <w:r w:rsidR="00E86BE9">
        <w:rPr>
          <w:rFonts w:ascii="Times New Roman" w:hAnsi="Times New Roman" w:cs="Times New Roman"/>
          <w:szCs w:val="21"/>
        </w:rPr>
        <w:t>S</w:t>
      </w:r>
      <w:r w:rsidRPr="00E86BE9">
        <w:rPr>
          <w:rFonts w:ascii="Times New Roman" w:hAnsi="Times New Roman" w:cs="Times New Roman" w:hint="eastAsia"/>
          <w:szCs w:val="21"/>
        </w:rPr>
        <w:t>1</w:t>
      </w:r>
      <w:r w:rsidRPr="00E86BE9">
        <w:rPr>
          <w:rFonts w:ascii="Times New Roman" w:hAnsi="Times New Roman" w:cs="Times New Roman"/>
          <w:szCs w:val="21"/>
        </w:rPr>
        <w:t xml:space="preserve">). </w:t>
      </w:r>
      <w:r w:rsidR="00E86BE9">
        <w:rPr>
          <w:rFonts w:ascii="Times New Roman" w:hAnsi="Times New Roman" w:cs="Times New Roman"/>
          <w:szCs w:val="21"/>
        </w:rPr>
        <w:t>Ten</w:t>
      </w:r>
      <w:r w:rsidR="00E86BE9" w:rsidRPr="00E86BE9">
        <w:rPr>
          <w:rFonts w:ascii="Times New Roman" w:hAnsi="Times New Roman" w:cs="Times New Roman" w:hint="eastAsia"/>
          <w:szCs w:val="21"/>
        </w:rPr>
        <w:t xml:space="preserve"> </w:t>
      </w:r>
      <w:r w:rsidR="00E86BE9">
        <w:rPr>
          <w:rFonts w:ascii="Times New Roman" w:hAnsi="Times New Roman" w:cs="Times New Roman"/>
          <w:szCs w:val="21"/>
        </w:rPr>
        <w:t>a</w:t>
      </w:r>
      <w:r w:rsidRPr="00E86BE9">
        <w:rPr>
          <w:rFonts w:ascii="Times New Roman" w:hAnsi="Times New Roman" w:cs="Times New Roman"/>
          <w:szCs w:val="21"/>
        </w:rPr>
        <w:t xml:space="preserve">mong </w:t>
      </w:r>
      <w:r w:rsidRPr="00E86BE9">
        <w:rPr>
          <w:rFonts w:ascii="Times New Roman" w:hAnsi="Times New Roman" w:cs="Times New Roman" w:hint="eastAsia"/>
          <w:szCs w:val="21"/>
        </w:rPr>
        <w:t>19 cored wells contain calcite fillings</w:t>
      </w:r>
      <w:r w:rsidRPr="00E86BE9">
        <w:rPr>
          <w:rFonts w:ascii="Times New Roman" w:hAnsi="Times New Roman" w:cs="Times New Roman"/>
          <w:szCs w:val="21"/>
        </w:rPr>
        <w:t>.</w:t>
      </w:r>
      <w:r w:rsidRPr="00E86BE9">
        <w:rPr>
          <w:rFonts w:ascii="Times New Roman" w:hAnsi="Times New Roman" w:cs="Times New Roman" w:hint="eastAsia"/>
          <w:szCs w:val="21"/>
        </w:rPr>
        <w:t xml:space="preserve"> </w:t>
      </w:r>
      <w:r w:rsidRPr="00E86BE9">
        <w:rPr>
          <w:rFonts w:ascii="Times New Roman" w:hAnsi="Times New Roman" w:cs="Times New Roman"/>
        </w:rPr>
        <w:t>15 samples</w:t>
      </w:r>
      <w:r w:rsidR="00E86BE9">
        <w:rPr>
          <w:rFonts w:ascii="Times New Roman" w:hAnsi="Times New Roman" w:cs="Times New Roman"/>
        </w:rPr>
        <w:t xml:space="preserve">, </w:t>
      </w:r>
      <w:r w:rsidRPr="00E86BE9">
        <w:rPr>
          <w:rFonts w:ascii="Times New Roman" w:hAnsi="Times New Roman" w:cs="Times New Roman"/>
        </w:rPr>
        <w:t>14 calcites and 1 barite</w:t>
      </w:r>
      <w:r w:rsidR="00E86BE9">
        <w:rPr>
          <w:rFonts w:ascii="Times New Roman" w:hAnsi="Times New Roman" w:cs="Times New Roman"/>
        </w:rPr>
        <w:t>,</w:t>
      </w:r>
      <w:r w:rsidRPr="00E86BE9">
        <w:rPr>
          <w:rFonts w:ascii="Times New Roman" w:hAnsi="Times New Roman" w:cs="Times New Roman"/>
        </w:rPr>
        <w:t xml:space="preserve"> occur</w:t>
      </w:r>
      <w:r w:rsidR="00E86BE9">
        <w:rPr>
          <w:rFonts w:ascii="Times New Roman" w:hAnsi="Times New Roman" w:cs="Times New Roman"/>
        </w:rPr>
        <w:t>ring</w:t>
      </w:r>
      <w:r w:rsidRPr="00E86BE9">
        <w:rPr>
          <w:rFonts w:ascii="Times New Roman" w:hAnsi="Times New Roman" w:cs="Times New Roman"/>
        </w:rPr>
        <w:t xml:space="preserve"> as fillings in </w:t>
      </w:r>
      <w:proofErr w:type="spellStart"/>
      <w:r w:rsidRPr="00E86BE9">
        <w:rPr>
          <w:rFonts w:ascii="Times New Roman" w:hAnsi="Times New Roman" w:cs="Times New Roman"/>
        </w:rPr>
        <w:t>vugs</w:t>
      </w:r>
      <w:proofErr w:type="spellEnd"/>
      <w:r w:rsidRPr="00E86BE9">
        <w:rPr>
          <w:rFonts w:ascii="Times New Roman" w:hAnsi="Times New Roman" w:cs="Times New Roman"/>
        </w:rPr>
        <w:t>, fractures, and caverns</w:t>
      </w:r>
      <w:r w:rsidR="00E86BE9">
        <w:rPr>
          <w:rFonts w:ascii="Times New Roman" w:hAnsi="Times New Roman" w:cs="Times New Roman"/>
        </w:rPr>
        <w:t>,</w:t>
      </w:r>
      <w:r w:rsidRPr="00E86BE9">
        <w:rPr>
          <w:rFonts w:ascii="Times New Roman" w:hAnsi="Times New Roman" w:cs="Times New Roman"/>
        </w:rPr>
        <w:t xml:space="preserve"> were collected and sample details are summarized in Table </w:t>
      </w:r>
      <w:r w:rsidR="00E86BE9">
        <w:rPr>
          <w:rFonts w:ascii="Times New Roman" w:hAnsi="Times New Roman" w:cs="Times New Roman"/>
        </w:rPr>
        <w:t>S</w:t>
      </w:r>
      <w:r w:rsidRPr="00E86BE9">
        <w:rPr>
          <w:rFonts w:ascii="Times New Roman" w:hAnsi="Times New Roman" w:cs="Times New Roman"/>
        </w:rPr>
        <w:t xml:space="preserve">1. Petrological and geochemical analyses including </w:t>
      </w:r>
      <w:proofErr w:type="spellStart"/>
      <w:r w:rsidRPr="00E86BE9">
        <w:rPr>
          <w:rFonts w:ascii="Times New Roman" w:hAnsi="Times New Roman" w:cs="Times New Roman"/>
        </w:rPr>
        <w:t>Cathodoluminescene</w:t>
      </w:r>
      <w:proofErr w:type="spellEnd"/>
      <w:r w:rsidRPr="00E86BE9">
        <w:rPr>
          <w:rFonts w:ascii="Times New Roman" w:hAnsi="Times New Roman" w:cs="Times New Roman"/>
        </w:rPr>
        <w:t xml:space="preserve"> (CL), C, O, and Sr isotopes, trace elements and REEs, and clumped isotopes and U-Pb dating analyses were performed in order to determine the diagenesis sequence and timing these calcites and related reservoirs formation. </w:t>
      </w:r>
      <w:r w:rsidR="00CC46C1" w:rsidRPr="00E86BE9">
        <w:rPr>
          <w:rFonts w:ascii="Times New Roman" w:hAnsi="Times New Roman" w:cs="Times New Roman" w:hint="eastAsia"/>
        </w:rPr>
        <w:t>Petrological features of typical samples were presented in Fig</w:t>
      </w:r>
      <w:r w:rsidR="00E86BE9">
        <w:rPr>
          <w:rFonts w:ascii="Times New Roman" w:hAnsi="Times New Roman" w:cs="Times New Roman"/>
        </w:rPr>
        <w:t>s.</w:t>
      </w:r>
      <w:r w:rsidR="00CC46C1" w:rsidRPr="00E86BE9">
        <w:rPr>
          <w:rFonts w:ascii="Times New Roman" w:hAnsi="Times New Roman" w:cs="Times New Roman" w:hint="eastAsia"/>
        </w:rPr>
        <w:t xml:space="preserve"> </w:t>
      </w:r>
      <w:r w:rsidR="00E86BE9">
        <w:rPr>
          <w:rFonts w:ascii="Times New Roman" w:hAnsi="Times New Roman" w:cs="Times New Roman"/>
        </w:rPr>
        <w:t>S</w:t>
      </w:r>
      <w:r w:rsidR="00CC46C1" w:rsidRPr="00E86BE9">
        <w:rPr>
          <w:rFonts w:ascii="Times New Roman" w:hAnsi="Times New Roman" w:cs="Times New Roman" w:hint="eastAsia"/>
        </w:rPr>
        <w:t xml:space="preserve">2, 3, and 4. </w:t>
      </w:r>
      <w:r w:rsidRPr="00E86BE9">
        <w:rPr>
          <w:rFonts w:ascii="Times New Roman" w:hAnsi="Times New Roman" w:cs="Times New Roman"/>
          <w:szCs w:val="21"/>
        </w:rPr>
        <w:t xml:space="preserve">Each sample was prepared three </w:t>
      </w:r>
      <w:r w:rsidR="00E86BE9" w:rsidRPr="00E86BE9">
        <w:rPr>
          <w:rFonts w:ascii="Times New Roman" w:hAnsi="Times New Roman" w:cs="Times New Roman"/>
          <w:szCs w:val="21"/>
        </w:rPr>
        <w:t>mirror</w:t>
      </w:r>
      <w:r w:rsidR="00E86BE9" w:rsidRPr="00E86BE9">
        <w:rPr>
          <w:rFonts w:ascii="Times New Roman" w:hAnsi="Times New Roman" w:cs="Times New Roman"/>
          <w:szCs w:val="21"/>
        </w:rPr>
        <w:t xml:space="preserve"> </w:t>
      </w:r>
      <w:r w:rsidRPr="00E86BE9">
        <w:rPr>
          <w:rFonts w:ascii="Times New Roman" w:hAnsi="Times New Roman" w:cs="Times New Roman"/>
          <w:szCs w:val="21"/>
        </w:rPr>
        <w:t>thin-sections, two were used for optical and CL observations and U-Pb dating</w:t>
      </w:r>
      <w:r w:rsidR="00E86BE9">
        <w:rPr>
          <w:rFonts w:ascii="Times New Roman" w:hAnsi="Times New Roman" w:cs="Times New Roman"/>
          <w:szCs w:val="21"/>
        </w:rPr>
        <w:t xml:space="preserve"> while</w:t>
      </w:r>
      <w:r w:rsidRPr="00E86BE9">
        <w:rPr>
          <w:rFonts w:ascii="Times New Roman" w:hAnsi="Times New Roman" w:cs="Times New Roman"/>
          <w:szCs w:val="21"/>
        </w:rPr>
        <w:t xml:space="preserve"> one for </w:t>
      </w:r>
      <w:r w:rsidR="00E86BE9">
        <w:rPr>
          <w:rFonts w:ascii="Times New Roman" w:hAnsi="Times New Roman" w:cs="Times New Roman"/>
          <w:szCs w:val="21"/>
        </w:rPr>
        <w:t>micro scale</w:t>
      </w:r>
      <w:r w:rsidRPr="00E86BE9">
        <w:rPr>
          <w:rFonts w:ascii="Times New Roman" w:hAnsi="Times New Roman" w:cs="Times New Roman"/>
          <w:szCs w:val="21"/>
        </w:rPr>
        <w:t xml:space="preserve"> sampling for geochemistry analyses</w:t>
      </w:r>
      <w:r w:rsidR="00C04A96">
        <w:rPr>
          <w:rFonts w:ascii="Times New Roman" w:hAnsi="Times New Roman" w:cs="Times New Roman"/>
          <w:szCs w:val="21"/>
        </w:rPr>
        <w:t>, including</w:t>
      </w:r>
      <w:r w:rsidRPr="00E86BE9">
        <w:rPr>
          <w:rFonts w:ascii="Times New Roman" w:hAnsi="Times New Roman" w:cs="Times New Roman"/>
          <w:kern w:val="0"/>
          <w:szCs w:val="21"/>
        </w:rPr>
        <w:t xml:space="preserve"> carbon, oxygen, and strontium isotopes, trace elements and REE, and clumped isotope measurements.</w:t>
      </w:r>
    </w:p>
    <w:p w14:paraId="04D4E700" w14:textId="76AEA212" w:rsidR="00C04A96" w:rsidRPr="00C04A96" w:rsidRDefault="00C04A96" w:rsidP="00C04A96">
      <w:pPr>
        <w:autoSpaceDE w:val="0"/>
        <w:autoSpaceDN w:val="0"/>
        <w:adjustRightInd w:val="0"/>
        <w:jc w:val="center"/>
        <w:rPr>
          <w:rFonts w:ascii="Times New Roman" w:hAnsi="Times New Roman"/>
          <w:i/>
          <w:iCs/>
          <w:sz w:val="18"/>
          <w:szCs w:val="18"/>
        </w:rPr>
      </w:pPr>
      <w:r w:rsidRPr="00C04A96">
        <w:rPr>
          <w:rFonts w:ascii="Times New Roman" w:hAnsi="Times New Roman"/>
          <w:i/>
          <w:iCs/>
          <w:sz w:val="18"/>
          <w:szCs w:val="18"/>
        </w:rPr>
        <w:t xml:space="preserve">Figure </w:t>
      </w:r>
      <w:r w:rsidRPr="00C04A96">
        <w:rPr>
          <w:rFonts w:ascii="Times New Roman" w:hAnsi="Times New Roman"/>
          <w:i/>
          <w:iCs/>
          <w:sz w:val="18"/>
          <w:szCs w:val="18"/>
        </w:rPr>
        <w:t>S</w:t>
      </w:r>
      <w:r w:rsidRPr="00C04A96">
        <w:rPr>
          <w:rFonts w:ascii="Times New Roman" w:hAnsi="Times New Roman" w:hint="eastAsia"/>
          <w:i/>
          <w:iCs/>
          <w:sz w:val="18"/>
          <w:szCs w:val="18"/>
        </w:rPr>
        <w:t>1</w:t>
      </w:r>
      <w:r w:rsidRPr="00C04A96">
        <w:rPr>
          <w:rFonts w:ascii="Times New Roman" w:hAnsi="Times New Roman"/>
          <w:i/>
          <w:iCs/>
          <w:sz w:val="18"/>
          <w:szCs w:val="18"/>
        </w:rPr>
        <w:t>. Well correlation showing the locations of cored section and the lost circulation and bit drops. In the lower part, the grey color boxes represent the vertically exaggerated cored sections with core recovery length and footage cored, yellow stars showing the sample positions.</w:t>
      </w:r>
    </w:p>
    <w:p w14:paraId="78BF33FA" w14:textId="77777777" w:rsidR="008E5C9D" w:rsidRPr="00E86BE9" w:rsidRDefault="00996D18" w:rsidP="00C04A96">
      <w:pPr>
        <w:jc w:val="center"/>
        <w:rPr>
          <w:rFonts w:ascii="Times New Roman" w:hAnsi="Times New Roman" w:cs="Times New Roman"/>
          <w:szCs w:val="21"/>
        </w:rPr>
      </w:pPr>
      <w:r w:rsidRPr="00E86BE9">
        <w:rPr>
          <w:rFonts w:ascii="Times New Roman" w:hAnsi="Times New Roman" w:cs="Times New Roman"/>
          <w:noProof/>
          <w:szCs w:val="21"/>
        </w:rPr>
        <w:drawing>
          <wp:inline distT="0" distB="0" distL="114300" distR="114300" wp14:anchorId="49BC5E95" wp14:editId="543F52CF">
            <wp:extent cx="4320449" cy="3048962"/>
            <wp:effectExtent l="0" t="0" r="444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8"/>
                    <a:stretch>
                      <a:fillRect/>
                    </a:stretch>
                  </pic:blipFill>
                  <pic:spPr>
                    <a:xfrm>
                      <a:off x="0" y="0"/>
                      <a:ext cx="4320449" cy="3048962"/>
                    </a:xfrm>
                    <a:prstGeom prst="rect">
                      <a:avLst/>
                    </a:prstGeom>
                  </pic:spPr>
                </pic:pic>
              </a:graphicData>
            </a:graphic>
          </wp:inline>
        </w:drawing>
      </w:r>
    </w:p>
    <w:p w14:paraId="5A95811A" w14:textId="77777777" w:rsidR="008E5C9D" w:rsidRPr="00E86BE9" w:rsidRDefault="008E5C9D">
      <w:pPr>
        <w:pStyle w:val="1"/>
        <w:spacing w:line="480" w:lineRule="auto"/>
        <w:jc w:val="center"/>
        <w:rPr>
          <w:rFonts w:ascii="Times New Roman" w:hAnsi="Times New Roman"/>
        </w:rPr>
        <w:sectPr w:rsidR="008E5C9D" w:rsidRPr="00E86BE9">
          <w:pgSz w:w="11906" w:h="16838"/>
          <w:pgMar w:top="1440" w:right="1800" w:bottom="1440" w:left="1800" w:header="851" w:footer="992" w:gutter="0"/>
          <w:cols w:space="425"/>
          <w:docGrid w:type="lines" w:linePitch="312"/>
        </w:sectPr>
      </w:pPr>
    </w:p>
    <w:p w14:paraId="6FF7863B" w14:textId="05E57ED2" w:rsidR="008506EB" w:rsidRPr="008506EB" w:rsidRDefault="00996D18" w:rsidP="008506EB">
      <w:pPr>
        <w:pStyle w:val="1"/>
        <w:numPr>
          <w:ilvl w:val="0"/>
          <w:numId w:val="1"/>
        </w:numPr>
        <w:ind w:firstLineChars="0"/>
        <w:jc w:val="center"/>
        <w:rPr>
          <w:rFonts w:ascii="Times New Roman" w:hAnsi="Times New Roman"/>
          <w:b/>
          <w:bCs/>
        </w:rPr>
      </w:pPr>
      <w:r w:rsidRPr="008506EB">
        <w:rPr>
          <w:rFonts w:ascii="Times New Roman" w:hAnsi="Times New Roman"/>
          <w:b/>
          <w:bCs/>
        </w:rPr>
        <w:lastRenderedPageBreak/>
        <w:t xml:space="preserve">Table </w:t>
      </w:r>
      <w:r w:rsidR="00C04A96" w:rsidRPr="008506EB">
        <w:rPr>
          <w:rFonts w:ascii="Times New Roman" w:hAnsi="Times New Roman"/>
          <w:b/>
          <w:bCs/>
        </w:rPr>
        <w:t>S</w:t>
      </w:r>
      <w:r w:rsidRPr="008506EB">
        <w:rPr>
          <w:rFonts w:ascii="Times New Roman" w:hAnsi="Times New Roman"/>
          <w:b/>
          <w:bCs/>
        </w:rPr>
        <w:t xml:space="preserve">1 </w:t>
      </w:r>
    </w:p>
    <w:p w14:paraId="348698EA" w14:textId="5C6C986B" w:rsidR="008E5C9D" w:rsidRPr="00C04A96" w:rsidRDefault="00C04A96" w:rsidP="008506EB">
      <w:pPr>
        <w:pStyle w:val="1"/>
        <w:ind w:firstLineChars="0" w:firstLine="0"/>
        <w:jc w:val="center"/>
        <w:rPr>
          <w:rFonts w:ascii="Times New Roman" w:hAnsi="Times New Roman"/>
          <w:i/>
          <w:iCs/>
        </w:rPr>
      </w:pPr>
      <w:r w:rsidRPr="00C04A96">
        <w:rPr>
          <w:rFonts w:ascii="Times New Roman" w:hAnsi="Times New Roman"/>
          <w:i/>
          <w:iCs/>
        </w:rPr>
        <w:t>Summary of s</w:t>
      </w:r>
      <w:r w:rsidRPr="00C04A96">
        <w:rPr>
          <w:rFonts w:ascii="Times New Roman" w:hAnsi="Times New Roman"/>
          <w:i/>
          <w:iCs/>
        </w:rPr>
        <w:t>amples</w:t>
      </w:r>
      <w:r w:rsidRPr="00C04A96">
        <w:rPr>
          <w:rFonts w:ascii="Times New Roman" w:hAnsi="Times New Roman"/>
          <w:i/>
          <w:iCs/>
        </w:rPr>
        <w:t xml:space="preserve"> i</w:t>
      </w:r>
      <w:r w:rsidR="00996D18" w:rsidRPr="00C04A96">
        <w:rPr>
          <w:rFonts w:ascii="Times New Roman" w:hAnsi="Times New Roman"/>
          <w:i/>
          <w:iCs/>
        </w:rPr>
        <w:t xml:space="preserve">nformation </w:t>
      </w:r>
      <w:r w:rsidRPr="00C04A96">
        <w:rPr>
          <w:rFonts w:ascii="Times New Roman" w:hAnsi="Times New Roman"/>
          <w:i/>
          <w:iCs/>
        </w:rPr>
        <w:t>and occurrence of calcites</w:t>
      </w:r>
    </w:p>
    <w:tbl>
      <w:tblPr>
        <w:tblStyle w:val="a3"/>
        <w:tblW w:w="13858" w:type="dxa"/>
        <w:tblBorders>
          <w:left w:val="none" w:sz="0" w:space="0" w:color="auto"/>
          <w:right w:val="none" w:sz="0" w:space="0" w:color="auto"/>
        </w:tblBorders>
        <w:tblLayout w:type="fixed"/>
        <w:tblLook w:val="04A0" w:firstRow="1" w:lastRow="0" w:firstColumn="1" w:lastColumn="0" w:noHBand="0" w:noVBand="1"/>
      </w:tblPr>
      <w:tblGrid>
        <w:gridCol w:w="735"/>
        <w:gridCol w:w="791"/>
        <w:gridCol w:w="850"/>
        <w:gridCol w:w="993"/>
        <w:gridCol w:w="1105"/>
        <w:gridCol w:w="1935"/>
        <w:gridCol w:w="2160"/>
        <w:gridCol w:w="5289"/>
      </w:tblGrid>
      <w:tr w:rsidR="00E86BE9" w:rsidRPr="00E86BE9" w14:paraId="6E9D416E" w14:textId="77777777">
        <w:tc>
          <w:tcPr>
            <w:tcW w:w="735" w:type="dxa"/>
            <w:tcBorders>
              <w:top w:val="single" w:sz="4" w:space="0" w:color="auto"/>
              <w:left w:val="nil"/>
              <w:bottom w:val="single" w:sz="4" w:space="0" w:color="auto"/>
              <w:right w:val="nil"/>
            </w:tcBorders>
            <w:vAlign w:val="center"/>
          </w:tcPr>
          <w:p w14:paraId="2AA51403" w14:textId="77777777" w:rsidR="008E5C9D" w:rsidRPr="00E86BE9" w:rsidRDefault="00996D18">
            <w:pPr>
              <w:adjustRightInd w:val="0"/>
              <w:snapToGrid w:val="0"/>
              <w:rPr>
                <w:rFonts w:ascii="Times New Roman" w:hAnsi="Times New Roman"/>
                <w:b/>
                <w:bCs/>
                <w:sz w:val="18"/>
                <w:szCs w:val="18"/>
              </w:rPr>
            </w:pPr>
            <w:r w:rsidRPr="00E86BE9">
              <w:rPr>
                <w:rFonts w:ascii="Times New Roman" w:hAnsi="Times New Roman"/>
                <w:kern w:val="0"/>
                <w:sz w:val="18"/>
                <w:szCs w:val="18"/>
              </w:rPr>
              <w:t>No.</w:t>
            </w:r>
          </w:p>
        </w:tc>
        <w:tc>
          <w:tcPr>
            <w:tcW w:w="791" w:type="dxa"/>
            <w:tcBorders>
              <w:top w:val="single" w:sz="4" w:space="0" w:color="auto"/>
              <w:left w:val="nil"/>
              <w:bottom w:val="single" w:sz="4" w:space="0" w:color="auto"/>
              <w:right w:val="nil"/>
            </w:tcBorders>
            <w:vAlign w:val="center"/>
          </w:tcPr>
          <w:p w14:paraId="19FD8A1D" w14:textId="77777777" w:rsidR="008E5C9D" w:rsidRPr="00E86BE9" w:rsidRDefault="00996D18">
            <w:pPr>
              <w:adjustRightInd w:val="0"/>
              <w:snapToGrid w:val="0"/>
              <w:rPr>
                <w:rFonts w:ascii="Times New Roman" w:hAnsi="Times New Roman"/>
                <w:b/>
                <w:bCs/>
                <w:sz w:val="18"/>
                <w:szCs w:val="18"/>
              </w:rPr>
            </w:pPr>
            <w:r w:rsidRPr="00E86BE9">
              <w:rPr>
                <w:rFonts w:ascii="Times New Roman" w:hAnsi="Times New Roman"/>
                <w:kern w:val="0"/>
                <w:sz w:val="18"/>
                <w:szCs w:val="18"/>
              </w:rPr>
              <w:t>Well</w:t>
            </w:r>
          </w:p>
        </w:tc>
        <w:tc>
          <w:tcPr>
            <w:tcW w:w="850" w:type="dxa"/>
            <w:tcBorders>
              <w:top w:val="single" w:sz="4" w:space="0" w:color="auto"/>
              <w:left w:val="nil"/>
              <w:bottom w:val="single" w:sz="4" w:space="0" w:color="auto"/>
              <w:right w:val="nil"/>
            </w:tcBorders>
            <w:vAlign w:val="center"/>
          </w:tcPr>
          <w:p w14:paraId="2EA837E7" w14:textId="77777777" w:rsidR="008E5C9D" w:rsidRPr="00E86BE9" w:rsidRDefault="00996D18">
            <w:pPr>
              <w:adjustRightInd w:val="0"/>
              <w:snapToGrid w:val="0"/>
              <w:rPr>
                <w:rFonts w:ascii="Times New Roman" w:hAnsi="Times New Roman"/>
                <w:b/>
                <w:bCs/>
                <w:sz w:val="18"/>
                <w:szCs w:val="18"/>
              </w:rPr>
            </w:pPr>
            <w:r w:rsidRPr="00E86BE9">
              <w:rPr>
                <w:rFonts w:ascii="Times New Roman" w:hAnsi="Times New Roman"/>
                <w:kern w:val="0"/>
                <w:sz w:val="18"/>
                <w:szCs w:val="18"/>
              </w:rPr>
              <w:t>Stratum</w:t>
            </w:r>
          </w:p>
        </w:tc>
        <w:tc>
          <w:tcPr>
            <w:tcW w:w="2098" w:type="dxa"/>
            <w:gridSpan w:val="2"/>
            <w:tcBorders>
              <w:top w:val="single" w:sz="4" w:space="0" w:color="auto"/>
              <w:left w:val="nil"/>
              <w:bottom w:val="single" w:sz="4" w:space="0" w:color="auto"/>
              <w:right w:val="nil"/>
            </w:tcBorders>
            <w:vAlign w:val="center"/>
          </w:tcPr>
          <w:p w14:paraId="067569B2" w14:textId="77777777" w:rsidR="008E5C9D" w:rsidRPr="00E86BE9" w:rsidRDefault="00996D18">
            <w:pPr>
              <w:adjustRightInd w:val="0"/>
              <w:snapToGrid w:val="0"/>
              <w:jc w:val="center"/>
              <w:rPr>
                <w:rFonts w:ascii="Times New Roman" w:hAnsi="Times New Roman"/>
                <w:b/>
                <w:bCs/>
                <w:sz w:val="18"/>
                <w:szCs w:val="18"/>
              </w:rPr>
            </w:pPr>
            <w:r w:rsidRPr="00E86BE9">
              <w:rPr>
                <w:rFonts w:ascii="Times New Roman" w:hAnsi="Times New Roman"/>
                <w:kern w:val="0"/>
                <w:sz w:val="18"/>
                <w:szCs w:val="18"/>
              </w:rPr>
              <w:t>Calcite type</w:t>
            </w:r>
          </w:p>
        </w:tc>
        <w:tc>
          <w:tcPr>
            <w:tcW w:w="1935" w:type="dxa"/>
            <w:tcBorders>
              <w:top w:val="single" w:sz="4" w:space="0" w:color="auto"/>
              <w:left w:val="nil"/>
              <w:bottom w:val="single" w:sz="4" w:space="0" w:color="auto"/>
              <w:right w:val="nil"/>
            </w:tcBorders>
            <w:vAlign w:val="center"/>
          </w:tcPr>
          <w:p w14:paraId="61647DCC" w14:textId="77777777" w:rsidR="008E5C9D" w:rsidRPr="00E86BE9" w:rsidRDefault="00996D18">
            <w:pPr>
              <w:adjustRightInd w:val="0"/>
              <w:snapToGrid w:val="0"/>
              <w:jc w:val="center"/>
              <w:rPr>
                <w:rFonts w:ascii="Times New Roman" w:hAnsi="Times New Roman"/>
                <w:sz w:val="18"/>
                <w:szCs w:val="18"/>
              </w:rPr>
            </w:pPr>
            <w:r w:rsidRPr="00E86BE9">
              <w:rPr>
                <w:rFonts w:ascii="Times New Roman" w:hAnsi="Times New Roman"/>
                <w:kern w:val="0"/>
                <w:sz w:val="18"/>
                <w:szCs w:val="18"/>
              </w:rPr>
              <w:t>crystal</w:t>
            </w:r>
          </w:p>
        </w:tc>
        <w:tc>
          <w:tcPr>
            <w:tcW w:w="2160" w:type="dxa"/>
            <w:tcBorders>
              <w:top w:val="single" w:sz="4" w:space="0" w:color="auto"/>
              <w:left w:val="nil"/>
              <w:bottom w:val="single" w:sz="4" w:space="0" w:color="auto"/>
              <w:right w:val="nil"/>
            </w:tcBorders>
            <w:vAlign w:val="center"/>
          </w:tcPr>
          <w:p w14:paraId="673AD46C" w14:textId="77777777" w:rsidR="008E5C9D" w:rsidRPr="00E86BE9" w:rsidRDefault="00996D18">
            <w:pPr>
              <w:adjustRightInd w:val="0"/>
              <w:snapToGrid w:val="0"/>
              <w:jc w:val="center"/>
              <w:rPr>
                <w:rFonts w:ascii="Times New Roman" w:hAnsi="Times New Roman"/>
                <w:sz w:val="18"/>
                <w:szCs w:val="18"/>
              </w:rPr>
            </w:pPr>
            <w:proofErr w:type="spellStart"/>
            <w:r w:rsidRPr="00E86BE9">
              <w:rPr>
                <w:rFonts w:ascii="Times New Roman" w:hAnsi="Times New Roman"/>
                <w:kern w:val="0"/>
                <w:sz w:val="18"/>
                <w:szCs w:val="18"/>
              </w:rPr>
              <w:t>Cathodoluminescene</w:t>
            </w:r>
            <w:proofErr w:type="spellEnd"/>
          </w:p>
        </w:tc>
        <w:tc>
          <w:tcPr>
            <w:tcW w:w="5289" w:type="dxa"/>
            <w:tcBorders>
              <w:top w:val="single" w:sz="4" w:space="0" w:color="auto"/>
              <w:left w:val="nil"/>
              <w:bottom w:val="single" w:sz="4" w:space="0" w:color="auto"/>
              <w:right w:val="nil"/>
            </w:tcBorders>
            <w:vAlign w:val="center"/>
          </w:tcPr>
          <w:p w14:paraId="56F420DA" w14:textId="77777777" w:rsidR="008E5C9D" w:rsidRPr="00E86BE9" w:rsidRDefault="00996D18">
            <w:pPr>
              <w:adjustRightInd w:val="0"/>
              <w:snapToGrid w:val="0"/>
              <w:jc w:val="center"/>
              <w:rPr>
                <w:rFonts w:ascii="Times New Roman" w:hAnsi="Times New Roman"/>
                <w:sz w:val="18"/>
                <w:szCs w:val="18"/>
              </w:rPr>
            </w:pPr>
            <w:r w:rsidRPr="00E86BE9">
              <w:rPr>
                <w:rFonts w:ascii="Times New Roman" w:hAnsi="Times New Roman"/>
                <w:kern w:val="0"/>
                <w:sz w:val="18"/>
                <w:szCs w:val="18"/>
              </w:rPr>
              <w:t>Remarks</w:t>
            </w:r>
          </w:p>
        </w:tc>
      </w:tr>
      <w:tr w:rsidR="00E86BE9" w:rsidRPr="00E86BE9" w14:paraId="19DC9C9E" w14:textId="77777777">
        <w:tc>
          <w:tcPr>
            <w:tcW w:w="735" w:type="dxa"/>
            <w:tcBorders>
              <w:top w:val="single" w:sz="4" w:space="0" w:color="auto"/>
              <w:left w:val="nil"/>
              <w:bottom w:val="single" w:sz="4" w:space="0" w:color="auto"/>
              <w:right w:val="nil"/>
            </w:tcBorders>
            <w:vAlign w:val="center"/>
          </w:tcPr>
          <w:p w14:paraId="21E40AEE"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H10</w:t>
            </w:r>
          </w:p>
        </w:tc>
        <w:tc>
          <w:tcPr>
            <w:tcW w:w="791" w:type="dxa"/>
            <w:tcBorders>
              <w:top w:val="single" w:sz="4" w:space="0" w:color="auto"/>
              <w:left w:val="nil"/>
              <w:bottom w:val="single" w:sz="4" w:space="0" w:color="auto"/>
              <w:right w:val="nil"/>
            </w:tcBorders>
            <w:vAlign w:val="center"/>
          </w:tcPr>
          <w:p w14:paraId="44840A9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H902</w:t>
            </w:r>
          </w:p>
        </w:tc>
        <w:tc>
          <w:tcPr>
            <w:tcW w:w="850" w:type="dxa"/>
            <w:tcBorders>
              <w:top w:val="single" w:sz="4" w:space="0" w:color="auto"/>
              <w:left w:val="nil"/>
              <w:bottom w:val="single" w:sz="4" w:space="0" w:color="auto"/>
              <w:right w:val="nil"/>
            </w:tcBorders>
            <w:vAlign w:val="center"/>
          </w:tcPr>
          <w:p w14:paraId="1896997F"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val="restart"/>
            <w:tcBorders>
              <w:top w:val="nil"/>
              <w:left w:val="nil"/>
              <w:bottom w:val="single" w:sz="4" w:space="0" w:color="auto"/>
              <w:right w:val="nil"/>
            </w:tcBorders>
            <w:vAlign w:val="center"/>
          </w:tcPr>
          <w:p w14:paraId="648B6CC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Calcite in vuggy pores (VC)</w:t>
            </w:r>
          </w:p>
        </w:tc>
        <w:tc>
          <w:tcPr>
            <w:tcW w:w="1935" w:type="dxa"/>
            <w:vMerge w:val="restart"/>
            <w:tcBorders>
              <w:top w:val="nil"/>
              <w:left w:val="nil"/>
              <w:bottom w:val="single" w:sz="4" w:space="0" w:color="auto"/>
              <w:right w:val="nil"/>
            </w:tcBorders>
            <w:vAlign w:val="center"/>
          </w:tcPr>
          <w:p w14:paraId="53D93814" w14:textId="77777777" w:rsidR="008E5C9D" w:rsidRPr="00E86BE9" w:rsidRDefault="00996D18">
            <w:pPr>
              <w:adjustRightInd w:val="0"/>
              <w:snapToGrid w:val="0"/>
              <w:rPr>
                <w:rFonts w:ascii="Times New Roman" w:hAnsi="Times New Roman"/>
                <w:sz w:val="18"/>
                <w:szCs w:val="18"/>
              </w:rPr>
            </w:pPr>
            <w:proofErr w:type="spellStart"/>
            <w:r w:rsidRPr="00E86BE9">
              <w:rPr>
                <w:rFonts w:ascii="Times New Roman" w:hAnsi="Times New Roman"/>
                <w:kern w:val="0"/>
                <w:sz w:val="18"/>
                <w:szCs w:val="18"/>
              </w:rPr>
              <w:t>Enhedural</w:t>
            </w:r>
            <w:proofErr w:type="spellEnd"/>
            <w:r w:rsidRPr="00E86BE9">
              <w:rPr>
                <w:rFonts w:ascii="Times New Roman" w:hAnsi="Times New Roman"/>
                <w:kern w:val="0"/>
                <w:sz w:val="18"/>
                <w:szCs w:val="18"/>
              </w:rPr>
              <w:t>, Crystal size &gt; 1mm</w:t>
            </w:r>
          </w:p>
        </w:tc>
        <w:tc>
          <w:tcPr>
            <w:tcW w:w="2160" w:type="dxa"/>
            <w:vMerge w:val="restart"/>
            <w:tcBorders>
              <w:top w:val="nil"/>
              <w:left w:val="nil"/>
              <w:bottom w:val="single" w:sz="4" w:space="0" w:color="auto"/>
              <w:right w:val="nil"/>
            </w:tcBorders>
            <w:vAlign w:val="center"/>
          </w:tcPr>
          <w:p w14:paraId="4F49480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Non-luminescent with bright orange rim</w:t>
            </w:r>
          </w:p>
        </w:tc>
        <w:tc>
          <w:tcPr>
            <w:tcW w:w="5289" w:type="dxa"/>
            <w:tcBorders>
              <w:top w:val="single" w:sz="4" w:space="0" w:color="auto"/>
              <w:left w:val="nil"/>
              <w:bottom w:val="single" w:sz="4" w:space="0" w:color="auto"/>
              <w:right w:val="nil"/>
            </w:tcBorders>
            <w:vAlign w:val="center"/>
          </w:tcPr>
          <w:p w14:paraId="495D42E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Below the top of Middle Ordovician, host rock oil-stained</w:t>
            </w:r>
          </w:p>
        </w:tc>
      </w:tr>
      <w:tr w:rsidR="00E86BE9" w:rsidRPr="00E86BE9" w14:paraId="2BAD73CB" w14:textId="77777777">
        <w:tc>
          <w:tcPr>
            <w:tcW w:w="735" w:type="dxa"/>
            <w:tcBorders>
              <w:top w:val="single" w:sz="4" w:space="0" w:color="auto"/>
              <w:left w:val="nil"/>
              <w:bottom w:val="single" w:sz="4" w:space="0" w:color="auto"/>
              <w:right w:val="nil"/>
            </w:tcBorders>
            <w:vAlign w:val="center"/>
          </w:tcPr>
          <w:p w14:paraId="3F71272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H11</w:t>
            </w:r>
          </w:p>
        </w:tc>
        <w:tc>
          <w:tcPr>
            <w:tcW w:w="791" w:type="dxa"/>
            <w:tcBorders>
              <w:top w:val="single" w:sz="4" w:space="0" w:color="auto"/>
              <w:left w:val="nil"/>
              <w:bottom w:val="single" w:sz="4" w:space="0" w:color="auto"/>
              <w:right w:val="nil"/>
            </w:tcBorders>
            <w:vAlign w:val="center"/>
          </w:tcPr>
          <w:p w14:paraId="72F8B1A7"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H902</w:t>
            </w:r>
          </w:p>
        </w:tc>
        <w:tc>
          <w:tcPr>
            <w:tcW w:w="850" w:type="dxa"/>
            <w:tcBorders>
              <w:top w:val="single" w:sz="4" w:space="0" w:color="auto"/>
              <w:left w:val="nil"/>
              <w:bottom w:val="single" w:sz="4" w:space="0" w:color="auto"/>
              <w:right w:val="nil"/>
            </w:tcBorders>
            <w:vAlign w:val="center"/>
          </w:tcPr>
          <w:p w14:paraId="49C4385F"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07B37326" w14:textId="77777777" w:rsidR="008E5C9D" w:rsidRPr="00E86BE9" w:rsidRDefault="008E5C9D">
            <w:pPr>
              <w:widowControl/>
              <w:jc w:val="left"/>
              <w:rPr>
                <w:rFonts w:ascii="Times New Roman" w:hAnsi="Times New Roman"/>
                <w:sz w:val="18"/>
                <w:szCs w:val="18"/>
              </w:rPr>
            </w:pPr>
          </w:p>
        </w:tc>
        <w:tc>
          <w:tcPr>
            <w:tcW w:w="1935" w:type="dxa"/>
            <w:vMerge/>
            <w:tcBorders>
              <w:top w:val="nil"/>
              <w:left w:val="nil"/>
              <w:bottom w:val="single" w:sz="4" w:space="0" w:color="auto"/>
              <w:right w:val="nil"/>
            </w:tcBorders>
            <w:vAlign w:val="center"/>
          </w:tcPr>
          <w:p w14:paraId="0A553C18" w14:textId="77777777" w:rsidR="008E5C9D" w:rsidRPr="00E86BE9" w:rsidRDefault="008E5C9D">
            <w:pPr>
              <w:widowControl/>
              <w:jc w:val="left"/>
              <w:rPr>
                <w:rFonts w:ascii="Times New Roman" w:hAnsi="Times New Roman"/>
                <w:sz w:val="18"/>
                <w:szCs w:val="18"/>
              </w:rPr>
            </w:pPr>
          </w:p>
        </w:tc>
        <w:tc>
          <w:tcPr>
            <w:tcW w:w="2160" w:type="dxa"/>
            <w:vMerge/>
            <w:tcBorders>
              <w:top w:val="nil"/>
              <w:left w:val="nil"/>
              <w:bottom w:val="single" w:sz="4" w:space="0" w:color="auto"/>
              <w:right w:val="nil"/>
            </w:tcBorders>
            <w:vAlign w:val="center"/>
          </w:tcPr>
          <w:p w14:paraId="02EF1C8B" w14:textId="77777777" w:rsidR="008E5C9D" w:rsidRPr="00E86BE9" w:rsidRDefault="008E5C9D">
            <w:pPr>
              <w:widowControl/>
              <w:jc w:val="left"/>
              <w:rPr>
                <w:rFonts w:ascii="Times New Roman" w:hAnsi="Times New Roman"/>
                <w:sz w:val="18"/>
                <w:szCs w:val="18"/>
              </w:rPr>
            </w:pPr>
          </w:p>
        </w:tc>
        <w:tc>
          <w:tcPr>
            <w:tcW w:w="5289" w:type="dxa"/>
            <w:tcBorders>
              <w:top w:val="single" w:sz="4" w:space="0" w:color="auto"/>
              <w:left w:val="nil"/>
              <w:bottom w:val="single" w:sz="4" w:space="0" w:color="auto"/>
              <w:right w:val="nil"/>
            </w:tcBorders>
            <w:vAlign w:val="center"/>
          </w:tcPr>
          <w:p w14:paraId="2A26C05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 xml:space="preserve">Below the top of Middle Ordovician, patchy oil-stained in </w:t>
            </w:r>
            <w:proofErr w:type="spellStart"/>
            <w:r w:rsidRPr="00E86BE9">
              <w:rPr>
                <w:rFonts w:ascii="Times New Roman" w:hAnsi="Times New Roman"/>
                <w:kern w:val="0"/>
                <w:sz w:val="18"/>
                <w:szCs w:val="18"/>
              </w:rPr>
              <w:t>vugs</w:t>
            </w:r>
            <w:proofErr w:type="spellEnd"/>
          </w:p>
        </w:tc>
      </w:tr>
      <w:tr w:rsidR="00E86BE9" w:rsidRPr="00E86BE9" w14:paraId="7AAC2142" w14:textId="77777777">
        <w:trPr>
          <w:trHeight w:val="277"/>
        </w:trPr>
        <w:tc>
          <w:tcPr>
            <w:tcW w:w="735" w:type="dxa"/>
            <w:tcBorders>
              <w:top w:val="single" w:sz="4" w:space="0" w:color="auto"/>
              <w:left w:val="nil"/>
              <w:bottom w:val="single" w:sz="4" w:space="0" w:color="auto"/>
              <w:right w:val="nil"/>
            </w:tcBorders>
            <w:vAlign w:val="center"/>
          </w:tcPr>
          <w:p w14:paraId="38400757"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H12</w:t>
            </w:r>
          </w:p>
        </w:tc>
        <w:tc>
          <w:tcPr>
            <w:tcW w:w="791" w:type="dxa"/>
            <w:tcBorders>
              <w:top w:val="single" w:sz="4" w:space="0" w:color="auto"/>
              <w:left w:val="nil"/>
              <w:bottom w:val="single" w:sz="4" w:space="0" w:color="auto"/>
              <w:right w:val="nil"/>
            </w:tcBorders>
            <w:vAlign w:val="center"/>
          </w:tcPr>
          <w:p w14:paraId="0B66713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Hd27</w:t>
            </w:r>
          </w:p>
        </w:tc>
        <w:tc>
          <w:tcPr>
            <w:tcW w:w="850" w:type="dxa"/>
            <w:tcBorders>
              <w:top w:val="single" w:sz="4" w:space="0" w:color="auto"/>
              <w:left w:val="nil"/>
              <w:bottom w:val="single" w:sz="4" w:space="0" w:color="auto"/>
              <w:right w:val="nil"/>
            </w:tcBorders>
            <w:vAlign w:val="center"/>
          </w:tcPr>
          <w:p w14:paraId="7412384C"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7A06BC55" w14:textId="77777777" w:rsidR="008E5C9D" w:rsidRPr="00E86BE9" w:rsidRDefault="008E5C9D">
            <w:pPr>
              <w:widowControl/>
              <w:jc w:val="left"/>
              <w:rPr>
                <w:rFonts w:ascii="Times New Roman" w:hAnsi="Times New Roman"/>
                <w:sz w:val="18"/>
                <w:szCs w:val="18"/>
              </w:rPr>
            </w:pPr>
          </w:p>
        </w:tc>
        <w:tc>
          <w:tcPr>
            <w:tcW w:w="1935" w:type="dxa"/>
            <w:vMerge/>
            <w:tcBorders>
              <w:top w:val="nil"/>
              <w:left w:val="nil"/>
              <w:bottom w:val="single" w:sz="4" w:space="0" w:color="auto"/>
              <w:right w:val="nil"/>
            </w:tcBorders>
            <w:vAlign w:val="center"/>
          </w:tcPr>
          <w:p w14:paraId="6F740B7A" w14:textId="77777777" w:rsidR="008E5C9D" w:rsidRPr="00E86BE9" w:rsidRDefault="008E5C9D">
            <w:pPr>
              <w:widowControl/>
              <w:jc w:val="left"/>
              <w:rPr>
                <w:rFonts w:ascii="Times New Roman" w:hAnsi="Times New Roman"/>
                <w:sz w:val="18"/>
                <w:szCs w:val="18"/>
              </w:rPr>
            </w:pPr>
          </w:p>
        </w:tc>
        <w:tc>
          <w:tcPr>
            <w:tcW w:w="2160" w:type="dxa"/>
            <w:vMerge/>
            <w:tcBorders>
              <w:top w:val="nil"/>
              <w:left w:val="nil"/>
              <w:bottom w:val="single" w:sz="4" w:space="0" w:color="auto"/>
              <w:right w:val="nil"/>
            </w:tcBorders>
            <w:vAlign w:val="center"/>
          </w:tcPr>
          <w:p w14:paraId="51E9383D" w14:textId="77777777" w:rsidR="008E5C9D" w:rsidRPr="00E86BE9" w:rsidRDefault="008E5C9D">
            <w:pPr>
              <w:widowControl/>
              <w:jc w:val="left"/>
              <w:rPr>
                <w:rFonts w:ascii="Times New Roman" w:hAnsi="Times New Roman"/>
                <w:sz w:val="18"/>
                <w:szCs w:val="18"/>
              </w:rPr>
            </w:pPr>
          </w:p>
        </w:tc>
        <w:tc>
          <w:tcPr>
            <w:tcW w:w="5289" w:type="dxa"/>
            <w:tcBorders>
              <w:top w:val="single" w:sz="4" w:space="0" w:color="auto"/>
              <w:left w:val="nil"/>
              <w:bottom w:val="single" w:sz="4" w:space="0" w:color="auto"/>
              <w:right w:val="nil"/>
            </w:tcBorders>
            <w:vAlign w:val="center"/>
          </w:tcPr>
          <w:p w14:paraId="7B1F4BCE"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oil-stained</w:t>
            </w:r>
          </w:p>
        </w:tc>
      </w:tr>
      <w:tr w:rsidR="00E86BE9" w:rsidRPr="00E86BE9" w14:paraId="1DEAE307" w14:textId="77777777">
        <w:tc>
          <w:tcPr>
            <w:tcW w:w="735" w:type="dxa"/>
            <w:tcBorders>
              <w:top w:val="single" w:sz="4" w:space="0" w:color="auto"/>
              <w:left w:val="nil"/>
              <w:bottom w:val="single" w:sz="4" w:space="0" w:color="auto"/>
              <w:right w:val="nil"/>
            </w:tcBorders>
            <w:vAlign w:val="center"/>
          </w:tcPr>
          <w:p w14:paraId="3884D1E5" w14:textId="77777777" w:rsidR="008E5C9D" w:rsidRPr="00E86BE9" w:rsidRDefault="00996D18">
            <w:pPr>
              <w:rPr>
                <w:rFonts w:ascii="Times New Roman" w:hAnsi="Times New Roman"/>
                <w:sz w:val="18"/>
                <w:szCs w:val="18"/>
              </w:rPr>
            </w:pPr>
            <w:r w:rsidRPr="00E86BE9">
              <w:rPr>
                <w:rFonts w:ascii="Times New Roman" w:hAnsi="Times New Roman"/>
                <w:kern w:val="0"/>
                <w:sz w:val="18"/>
                <w:szCs w:val="18"/>
              </w:rPr>
              <w:t>H13</w:t>
            </w:r>
          </w:p>
        </w:tc>
        <w:tc>
          <w:tcPr>
            <w:tcW w:w="791" w:type="dxa"/>
            <w:tcBorders>
              <w:top w:val="single" w:sz="4" w:space="0" w:color="auto"/>
              <w:left w:val="nil"/>
              <w:bottom w:val="single" w:sz="4" w:space="0" w:color="auto"/>
              <w:right w:val="nil"/>
            </w:tcBorders>
            <w:vAlign w:val="center"/>
          </w:tcPr>
          <w:p w14:paraId="5A750DD7" w14:textId="77777777" w:rsidR="008E5C9D" w:rsidRPr="00E86BE9" w:rsidRDefault="00996D18">
            <w:pPr>
              <w:rPr>
                <w:rFonts w:ascii="Times New Roman" w:hAnsi="Times New Roman"/>
                <w:sz w:val="18"/>
                <w:szCs w:val="18"/>
              </w:rPr>
            </w:pPr>
            <w:r w:rsidRPr="00E86BE9">
              <w:rPr>
                <w:rFonts w:ascii="Times New Roman" w:hAnsi="Times New Roman"/>
                <w:kern w:val="0"/>
                <w:sz w:val="18"/>
                <w:szCs w:val="18"/>
              </w:rPr>
              <w:t>H601-1</w:t>
            </w:r>
          </w:p>
        </w:tc>
        <w:tc>
          <w:tcPr>
            <w:tcW w:w="850" w:type="dxa"/>
            <w:tcBorders>
              <w:top w:val="single" w:sz="4" w:space="0" w:color="auto"/>
              <w:left w:val="nil"/>
              <w:bottom w:val="single" w:sz="4" w:space="0" w:color="auto"/>
              <w:right w:val="nil"/>
            </w:tcBorders>
            <w:vAlign w:val="center"/>
          </w:tcPr>
          <w:p w14:paraId="57A0CE2A" w14:textId="77777777" w:rsidR="008E5C9D" w:rsidRPr="00E86BE9" w:rsidRDefault="00996D18">
            <w:pPr>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val="restart"/>
            <w:tcBorders>
              <w:top w:val="nil"/>
              <w:left w:val="nil"/>
              <w:bottom w:val="single" w:sz="4" w:space="0" w:color="auto"/>
              <w:right w:val="nil"/>
            </w:tcBorders>
            <w:vAlign w:val="center"/>
          </w:tcPr>
          <w:p w14:paraId="4F12120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Calcite in interbedded fractures (IFC)</w:t>
            </w:r>
          </w:p>
        </w:tc>
        <w:tc>
          <w:tcPr>
            <w:tcW w:w="1935" w:type="dxa"/>
            <w:vMerge w:val="restart"/>
            <w:tcBorders>
              <w:top w:val="nil"/>
              <w:left w:val="nil"/>
              <w:bottom w:val="single" w:sz="4" w:space="0" w:color="auto"/>
              <w:right w:val="nil"/>
            </w:tcBorders>
            <w:vAlign w:val="center"/>
          </w:tcPr>
          <w:p w14:paraId="034A582F" w14:textId="77777777" w:rsidR="008E5C9D" w:rsidRPr="00E86BE9" w:rsidRDefault="00996D18">
            <w:pPr>
              <w:adjustRightInd w:val="0"/>
              <w:snapToGrid w:val="0"/>
              <w:rPr>
                <w:rFonts w:ascii="Times New Roman" w:hAnsi="Times New Roman"/>
                <w:sz w:val="18"/>
                <w:szCs w:val="18"/>
              </w:rPr>
            </w:pPr>
            <w:proofErr w:type="spellStart"/>
            <w:r w:rsidRPr="00E86BE9">
              <w:rPr>
                <w:rFonts w:ascii="Times New Roman" w:hAnsi="Times New Roman"/>
                <w:kern w:val="0"/>
                <w:sz w:val="18"/>
                <w:szCs w:val="18"/>
              </w:rPr>
              <w:t>Enhedural</w:t>
            </w:r>
            <w:proofErr w:type="spellEnd"/>
            <w:r w:rsidRPr="00E86BE9">
              <w:rPr>
                <w:rFonts w:ascii="Times New Roman" w:hAnsi="Times New Roman"/>
                <w:kern w:val="0"/>
                <w:sz w:val="18"/>
                <w:szCs w:val="18"/>
              </w:rPr>
              <w:t xml:space="preserve"> with crystal size &gt;2 mm, cut by tiny calcite filled fracture</w:t>
            </w:r>
          </w:p>
        </w:tc>
        <w:tc>
          <w:tcPr>
            <w:tcW w:w="2160" w:type="dxa"/>
            <w:vMerge w:val="restart"/>
            <w:tcBorders>
              <w:top w:val="nil"/>
              <w:left w:val="nil"/>
              <w:bottom w:val="single" w:sz="4" w:space="0" w:color="auto"/>
              <w:right w:val="nil"/>
            </w:tcBorders>
            <w:vAlign w:val="center"/>
          </w:tcPr>
          <w:p w14:paraId="5625BB0B"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Non-to dull luminescent, tiny calcite shows orange luminescent</w:t>
            </w:r>
          </w:p>
        </w:tc>
        <w:tc>
          <w:tcPr>
            <w:tcW w:w="5289" w:type="dxa"/>
            <w:tcBorders>
              <w:top w:val="single" w:sz="4" w:space="0" w:color="auto"/>
              <w:left w:val="nil"/>
              <w:bottom w:val="single" w:sz="4" w:space="0" w:color="auto"/>
              <w:right w:val="nil"/>
            </w:tcBorders>
            <w:vAlign w:val="center"/>
          </w:tcPr>
          <w:p w14:paraId="0085892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Fracture is completely filled with calcite, no oil stained</w:t>
            </w:r>
          </w:p>
        </w:tc>
      </w:tr>
      <w:tr w:rsidR="00E86BE9" w:rsidRPr="00E86BE9" w14:paraId="3D49883A" w14:textId="77777777">
        <w:trPr>
          <w:trHeight w:val="406"/>
        </w:trPr>
        <w:tc>
          <w:tcPr>
            <w:tcW w:w="735" w:type="dxa"/>
            <w:tcBorders>
              <w:top w:val="single" w:sz="4" w:space="0" w:color="auto"/>
              <w:left w:val="nil"/>
              <w:bottom w:val="single" w:sz="4" w:space="0" w:color="auto"/>
              <w:right w:val="nil"/>
            </w:tcBorders>
            <w:vAlign w:val="center"/>
          </w:tcPr>
          <w:p w14:paraId="571438D1"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H16-1</w:t>
            </w:r>
          </w:p>
        </w:tc>
        <w:tc>
          <w:tcPr>
            <w:tcW w:w="791" w:type="dxa"/>
            <w:tcBorders>
              <w:top w:val="single" w:sz="4" w:space="0" w:color="auto"/>
              <w:left w:val="nil"/>
              <w:bottom w:val="single" w:sz="4" w:space="0" w:color="auto"/>
              <w:right w:val="nil"/>
            </w:tcBorders>
            <w:vAlign w:val="center"/>
          </w:tcPr>
          <w:p w14:paraId="3DD494E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Jy2</w:t>
            </w:r>
          </w:p>
        </w:tc>
        <w:tc>
          <w:tcPr>
            <w:tcW w:w="850" w:type="dxa"/>
            <w:tcBorders>
              <w:top w:val="single" w:sz="4" w:space="0" w:color="auto"/>
              <w:left w:val="nil"/>
              <w:bottom w:val="single" w:sz="4" w:space="0" w:color="auto"/>
              <w:right w:val="nil"/>
            </w:tcBorders>
            <w:vAlign w:val="center"/>
          </w:tcPr>
          <w:p w14:paraId="1F609A4A"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580BC9D8" w14:textId="77777777" w:rsidR="008E5C9D" w:rsidRPr="00E86BE9" w:rsidRDefault="008E5C9D">
            <w:pPr>
              <w:widowControl/>
              <w:jc w:val="left"/>
              <w:rPr>
                <w:rFonts w:ascii="Times New Roman" w:hAnsi="Times New Roman"/>
                <w:sz w:val="18"/>
                <w:szCs w:val="18"/>
              </w:rPr>
            </w:pPr>
          </w:p>
        </w:tc>
        <w:tc>
          <w:tcPr>
            <w:tcW w:w="1935" w:type="dxa"/>
            <w:vMerge/>
            <w:tcBorders>
              <w:top w:val="nil"/>
              <w:left w:val="nil"/>
              <w:bottom w:val="single" w:sz="4" w:space="0" w:color="auto"/>
              <w:right w:val="nil"/>
            </w:tcBorders>
            <w:vAlign w:val="center"/>
          </w:tcPr>
          <w:p w14:paraId="574B4FD0" w14:textId="77777777" w:rsidR="008E5C9D" w:rsidRPr="00E86BE9" w:rsidRDefault="008E5C9D">
            <w:pPr>
              <w:widowControl/>
              <w:jc w:val="left"/>
              <w:rPr>
                <w:rFonts w:ascii="Times New Roman" w:hAnsi="Times New Roman"/>
                <w:sz w:val="18"/>
                <w:szCs w:val="18"/>
              </w:rPr>
            </w:pPr>
          </w:p>
        </w:tc>
        <w:tc>
          <w:tcPr>
            <w:tcW w:w="2160" w:type="dxa"/>
            <w:vMerge/>
            <w:tcBorders>
              <w:top w:val="nil"/>
              <w:left w:val="nil"/>
              <w:bottom w:val="single" w:sz="4" w:space="0" w:color="auto"/>
              <w:right w:val="nil"/>
            </w:tcBorders>
            <w:vAlign w:val="center"/>
          </w:tcPr>
          <w:p w14:paraId="7F41D16D" w14:textId="77777777" w:rsidR="008E5C9D" w:rsidRPr="00E86BE9" w:rsidRDefault="008E5C9D">
            <w:pPr>
              <w:widowControl/>
              <w:jc w:val="left"/>
              <w:rPr>
                <w:rFonts w:ascii="Times New Roman" w:hAnsi="Times New Roman"/>
                <w:sz w:val="18"/>
                <w:szCs w:val="18"/>
              </w:rPr>
            </w:pPr>
          </w:p>
        </w:tc>
        <w:tc>
          <w:tcPr>
            <w:tcW w:w="5289" w:type="dxa"/>
            <w:tcBorders>
              <w:top w:val="single" w:sz="4" w:space="0" w:color="auto"/>
              <w:left w:val="nil"/>
              <w:bottom w:val="single" w:sz="4" w:space="0" w:color="auto"/>
              <w:right w:val="nil"/>
            </w:tcBorders>
            <w:vAlign w:val="center"/>
          </w:tcPr>
          <w:p w14:paraId="1B0C2DE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Fracture is completely filled with calcite, no oil stained</w:t>
            </w:r>
          </w:p>
        </w:tc>
      </w:tr>
      <w:tr w:rsidR="00E86BE9" w:rsidRPr="00E86BE9" w14:paraId="1054A5EB" w14:textId="77777777">
        <w:trPr>
          <w:trHeight w:val="562"/>
        </w:trPr>
        <w:tc>
          <w:tcPr>
            <w:tcW w:w="735" w:type="dxa"/>
            <w:tcBorders>
              <w:top w:val="single" w:sz="4" w:space="0" w:color="auto"/>
              <w:left w:val="nil"/>
              <w:bottom w:val="single" w:sz="4" w:space="0" w:color="auto"/>
              <w:right w:val="nil"/>
            </w:tcBorders>
            <w:vAlign w:val="center"/>
          </w:tcPr>
          <w:p w14:paraId="48FBF15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H6</w:t>
            </w:r>
          </w:p>
        </w:tc>
        <w:tc>
          <w:tcPr>
            <w:tcW w:w="791" w:type="dxa"/>
            <w:tcBorders>
              <w:top w:val="single" w:sz="4" w:space="0" w:color="auto"/>
              <w:left w:val="nil"/>
              <w:bottom w:val="single" w:sz="4" w:space="0" w:color="auto"/>
              <w:right w:val="nil"/>
            </w:tcBorders>
            <w:vAlign w:val="center"/>
          </w:tcPr>
          <w:p w14:paraId="0466490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Xk101</w:t>
            </w:r>
          </w:p>
        </w:tc>
        <w:tc>
          <w:tcPr>
            <w:tcW w:w="850" w:type="dxa"/>
            <w:tcBorders>
              <w:top w:val="single" w:sz="4" w:space="0" w:color="auto"/>
              <w:left w:val="nil"/>
              <w:bottom w:val="single" w:sz="4" w:space="0" w:color="auto"/>
              <w:right w:val="nil"/>
            </w:tcBorders>
            <w:vAlign w:val="center"/>
          </w:tcPr>
          <w:p w14:paraId="630C9B1C"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tcBorders>
              <w:top w:val="single" w:sz="4" w:space="0" w:color="auto"/>
              <w:left w:val="nil"/>
              <w:bottom w:val="single" w:sz="4" w:space="0" w:color="auto"/>
              <w:right w:val="nil"/>
            </w:tcBorders>
            <w:vAlign w:val="center"/>
          </w:tcPr>
          <w:p w14:paraId="75A76DE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Calcite in high-angle dissolved fractures (DFC)</w:t>
            </w:r>
          </w:p>
        </w:tc>
        <w:tc>
          <w:tcPr>
            <w:tcW w:w="1935" w:type="dxa"/>
            <w:tcBorders>
              <w:top w:val="single" w:sz="4" w:space="0" w:color="auto"/>
              <w:left w:val="nil"/>
              <w:bottom w:val="single" w:sz="4" w:space="0" w:color="auto"/>
              <w:right w:val="nil"/>
            </w:tcBorders>
            <w:vAlign w:val="center"/>
          </w:tcPr>
          <w:p w14:paraId="332FB32C" w14:textId="77777777" w:rsidR="008E5C9D" w:rsidRPr="00E86BE9" w:rsidRDefault="008E5C9D">
            <w:pPr>
              <w:adjustRightInd w:val="0"/>
              <w:snapToGrid w:val="0"/>
              <w:rPr>
                <w:rFonts w:ascii="Times New Roman" w:hAnsi="Times New Roman"/>
                <w:sz w:val="18"/>
                <w:szCs w:val="18"/>
              </w:rPr>
            </w:pPr>
          </w:p>
        </w:tc>
        <w:tc>
          <w:tcPr>
            <w:tcW w:w="2160" w:type="dxa"/>
            <w:tcBorders>
              <w:top w:val="single" w:sz="4" w:space="0" w:color="auto"/>
              <w:left w:val="nil"/>
              <w:bottom w:val="single" w:sz="4" w:space="0" w:color="auto"/>
              <w:right w:val="nil"/>
            </w:tcBorders>
            <w:vAlign w:val="center"/>
          </w:tcPr>
          <w:p w14:paraId="47F975D3" w14:textId="77777777" w:rsidR="008E5C9D" w:rsidRPr="00E86BE9" w:rsidRDefault="008E5C9D">
            <w:pPr>
              <w:adjustRightInd w:val="0"/>
              <w:snapToGrid w:val="0"/>
              <w:rPr>
                <w:rFonts w:ascii="Times New Roman" w:hAnsi="Times New Roman"/>
                <w:sz w:val="18"/>
                <w:szCs w:val="18"/>
              </w:rPr>
            </w:pPr>
          </w:p>
        </w:tc>
        <w:tc>
          <w:tcPr>
            <w:tcW w:w="5289" w:type="dxa"/>
            <w:tcBorders>
              <w:top w:val="single" w:sz="4" w:space="0" w:color="auto"/>
              <w:left w:val="nil"/>
              <w:bottom w:val="single" w:sz="4" w:space="0" w:color="auto"/>
              <w:right w:val="nil"/>
            </w:tcBorders>
            <w:vAlign w:val="center"/>
          </w:tcPr>
          <w:p w14:paraId="482A0D7F"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Fracture length up to 7 m, no related bit drops or loss of circulation</w:t>
            </w:r>
          </w:p>
        </w:tc>
      </w:tr>
      <w:tr w:rsidR="00E86BE9" w:rsidRPr="00E86BE9" w14:paraId="6510CDE5" w14:textId="77777777">
        <w:tc>
          <w:tcPr>
            <w:tcW w:w="735" w:type="dxa"/>
            <w:tcBorders>
              <w:top w:val="single" w:sz="4" w:space="0" w:color="auto"/>
              <w:left w:val="nil"/>
              <w:bottom w:val="single" w:sz="4" w:space="0" w:color="auto"/>
              <w:right w:val="nil"/>
            </w:tcBorders>
            <w:vAlign w:val="center"/>
          </w:tcPr>
          <w:p w14:paraId="1A6DE79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H19</w:t>
            </w:r>
          </w:p>
        </w:tc>
        <w:tc>
          <w:tcPr>
            <w:tcW w:w="791" w:type="dxa"/>
            <w:tcBorders>
              <w:top w:val="single" w:sz="4" w:space="0" w:color="auto"/>
              <w:left w:val="nil"/>
              <w:bottom w:val="single" w:sz="4" w:space="0" w:color="auto"/>
              <w:right w:val="nil"/>
            </w:tcBorders>
            <w:vAlign w:val="center"/>
          </w:tcPr>
          <w:p w14:paraId="055B313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Ym1</w:t>
            </w:r>
          </w:p>
        </w:tc>
        <w:tc>
          <w:tcPr>
            <w:tcW w:w="850" w:type="dxa"/>
            <w:tcBorders>
              <w:top w:val="single" w:sz="4" w:space="0" w:color="auto"/>
              <w:left w:val="nil"/>
              <w:bottom w:val="single" w:sz="4" w:space="0" w:color="auto"/>
              <w:right w:val="nil"/>
            </w:tcBorders>
            <w:vAlign w:val="center"/>
          </w:tcPr>
          <w:p w14:paraId="167B5017"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993" w:type="dxa"/>
            <w:vMerge w:val="restart"/>
            <w:tcBorders>
              <w:top w:val="nil"/>
              <w:left w:val="nil"/>
              <w:bottom w:val="single" w:sz="4" w:space="0" w:color="auto"/>
              <w:right w:val="nil"/>
            </w:tcBorders>
            <w:vAlign w:val="center"/>
          </w:tcPr>
          <w:p w14:paraId="13BC3EA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Calcite in high-angle structural fractures (SFC)</w:t>
            </w:r>
          </w:p>
        </w:tc>
        <w:tc>
          <w:tcPr>
            <w:tcW w:w="1105" w:type="dxa"/>
            <w:vMerge w:val="restart"/>
            <w:tcBorders>
              <w:top w:val="nil"/>
              <w:left w:val="nil"/>
              <w:bottom w:val="single" w:sz="4" w:space="0" w:color="auto"/>
              <w:right w:val="nil"/>
            </w:tcBorders>
            <w:vAlign w:val="center"/>
          </w:tcPr>
          <w:p w14:paraId="37BD2ECB"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SFC-1</w:t>
            </w:r>
          </w:p>
        </w:tc>
        <w:tc>
          <w:tcPr>
            <w:tcW w:w="1935" w:type="dxa"/>
            <w:vMerge w:val="restart"/>
            <w:tcBorders>
              <w:top w:val="nil"/>
              <w:left w:val="nil"/>
              <w:bottom w:val="single" w:sz="4" w:space="0" w:color="auto"/>
              <w:right w:val="nil"/>
            </w:tcBorders>
            <w:vAlign w:val="center"/>
          </w:tcPr>
          <w:p w14:paraId="6FB8E135" w14:textId="77777777" w:rsidR="008E5C9D" w:rsidRPr="00E86BE9" w:rsidRDefault="00996D18">
            <w:pPr>
              <w:adjustRightInd w:val="0"/>
              <w:snapToGrid w:val="0"/>
              <w:rPr>
                <w:rFonts w:ascii="Times New Roman" w:hAnsi="Times New Roman"/>
                <w:sz w:val="18"/>
                <w:szCs w:val="18"/>
              </w:rPr>
            </w:pPr>
            <w:proofErr w:type="spellStart"/>
            <w:r w:rsidRPr="00E86BE9">
              <w:rPr>
                <w:rFonts w:ascii="Times New Roman" w:hAnsi="Times New Roman"/>
                <w:kern w:val="0"/>
                <w:sz w:val="18"/>
                <w:szCs w:val="18"/>
              </w:rPr>
              <w:t>Enhedural</w:t>
            </w:r>
            <w:proofErr w:type="spellEnd"/>
            <w:r w:rsidRPr="00E86BE9">
              <w:rPr>
                <w:rFonts w:ascii="Times New Roman" w:hAnsi="Times New Roman"/>
                <w:kern w:val="0"/>
                <w:sz w:val="18"/>
                <w:szCs w:val="18"/>
              </w:rPr>
              <w:t xml:space="preserve"> with crystal size &gt;1mm, cleavage crack parallel to the wall </w:t>
            </w:r>
          </w:p>
        </w:tc>
        <w:tc>
          <w:tcPr>
            <w:tcW w:w="2160" w:type="dxa"/>
            <w:tcBorders>
              <w:top w:val="single" w:sz="4" w:space="0" w:color="auto"/>
              <w:left w:val="nil"/>
              <w:bottom w:val="single" w:sz="4" w:space="0" w:color="auto"/>
              <w:right w:val="nil"/>
            </w:tcBorders>
            <w:vAlign w:val="center"/>
          </w:tcPr>
          <w:p w14:paraId="22A4A8B0"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 xml:space="preserve">Non-luminescent </w:t>
            </w:r>
          </w:p>
        </w:tc>
        <w:tc>
          <w:tcPr>
            <w:tcW w:w="5289" w:type="dxa"/>
            <w:tcBorders>
              <w:top w:val="single" w:sz="4" w:space="0" w:color="auto"/>
              <w:left w:val="nil"/>
              <w:bottom w:val="single" w:sz="4" w:space="0" w:color="auto"/>
              <w:right w:val="nil"/>
            </w:tcBorders>
            <w:vAlign w:val="center"/>
          </w:tcPr>
          <w:p w14:paraId="21E83A4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hint="eastAsia"/>
                <w:kern w:val="0"/>
                <w:sz w:val="18"/>
                <w:szCs w:val="18"/>
              </w:rPr>
              <w:t>P</w:t>
            </w:r>
            <w:r w:rsidRPr="00E86BE9">
              <w:rPr>
                <w:rFonts w:ascii="Times New Roman" w:hAnsi="Times New Roman"/>
                <w:kern w:val="0"/>
                <w:sz w:val="18"/>
                <w:szCs w:val="18"/>
              </w:rPr>
              <w:t>artially filled with calcite, oil stained. 80° inclination, scoring on the wall</w:t>
            </w:r>
            <w:r w:rsidRPr="00E86BE9">
              <w:rPr>
                <w:rFonts w:ascii="Times New Roman" w:hAnsi="Times New Roman" w:hint="eastAsia"/>
                <w:kern w:val="0"/>
                <w:sz w:val="18"/>
                <w:szCs w:val="18"/>
              </w:rPr>
              <w:t>.</w:t>
            </w:r>
            <w:r w:rsidRPr="00E86BE9">
              <w:rPr>
                <w:rFonts w:ascii="Times New Roman" w:hAnsi="Times New Roman"/>
                <w:kern w:val="0"/>
                <w:sz w:val="18"/>
                <w:szCs w:val="18"/>
              </w:rPr>
              <w:t xml:space="preserve"> </w:t>
            </w:r>
            <w:r w:rsidRPr="00E86BE9">
              <w:rPr>
                <w:rFonts w:ascii="Times New Roman" w:hAnsi="Times New Roman" w:hint="eastAsia"/>
                <w:kern w:val="0"/>
                <w:sz w:val="18"/>
                <w:szCs w:val="18"/>
              </w:rPr>
              <w:t>B</w:t>
            </w:r>
            <w:r w:rsidRPr="00E86BE9">
              <w:rPr>
                <w:rFonts w:ascii="Times New Roman" w:hAnsi="Times New Roman"/>
                <w:kern w:val="0"/>
                <w:sz w:val="18"/>
                <w:szCs w:val="18"/>
              </w:rPr>
              <w:t>it drops and loss of circulation occurred 5 m below the sample</w:t>
            </w:r>
          </w:p>
        </w:tc>
      </w:tr>
      <w:tr w:rsidR="00E86BE9" w:rsidRPr="00E86BE9" w14:paraId="47B11495" w14:textId="77777777">
        <w:tc>
          <w:tcPr>
            <w:tcW w:w="735" w:type="dxa"/>
            <w:tcBorders>
              <w:top w:val="single" w:sz="4" w:space="0" w:color="auto"/>
              <w:left w:val="nil"/>
              <w:bottom w:val="single" w:sz="4" w:space="0" w:color="auto"/>
              <w:right w:val="nil"/>
            </w:tcBorders>
            <w:vAlign w:val="center"/>
          </w:tcPr>
          <w:p w14:paraId="50B7C00E"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H20</w:t>
            </w:r>
          </w:p>
        </w:tc>
        <w:tc>
          <w:tcPr>
            <w:tcW w:w="791" w:type="dxa"/>
            <w:tcBorders>
              <w:top w:val="single" w:sz="4" w:space="0" w:color="auto"/>
              <w:left w:val="nil"/>
              <w:bottom w:val="single" w:sz="4" w:space="0" w:color="auto"/>
              <w:right w:val="nil"/>
            </w:tcBorders>
            <w:vAlign w:val="center"/>
          </w:tcPr>
          <w:p w14:paraId="344FA83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Ym1</w:t>
            </w:r>
          </w:p>
        </w:tc>
        <w:tc>
          <w:tcPr>
            <w:tcW w:w="850" w:type="dxa"/>
            <w:tcBorders>
              <w:top w:val="single" w:sz="4" w:space="0" w:color="auto"/>
              <w:left w:val="nil"/>
              <w:bottom w:val="single" w:sz="4" w:space="0" w:color="auto"/>
              <w:right w:val="nil"/>
            </w:tcBorders>
            <w:vAlign w:val="center"/>
          </w:tcPr>
          <w:p w14:paraId="6EF4F24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O3t</w:t>
            </w:r>
          </w:p>
        </w:tc>
        <w:tc>
          <w:tcPr>
            <w:tcW w:w="993" w:type="dxa"/>
            <w:vMerge/>
            <w:tcBorders>
              <w:top w:val="nil"/>
              <w:left w:val="nil"/>
              <w:bottom w:val="single" w:sz="4" w:space="0" w:color="auto"/>
              <w:right w:val="nil"/>
            </w:tcBorders>
            <w:vAlign w:val="center"/>
          </w:tcPr>
          <w:p w14:paraId="45FEDB97" w14:textId="77777777" w:rsidR="008E5C9D" w:rsidRPr="00E86BE9" w:rsidRDefault="008E5C9D">
            <w:pPr>
              <w:widowControl/>
              <w:jc w:val="left"/>
              <w:rPr>
                <w:rFonts w:ascii="Times New Roman" w:hAnsi="Times New Roman"/>
                <w:sz w:val="18"/>
                <w:szCs w:val="18"/>
              </w:rPr>
            </w:pPr>
          </w:p>
        </w:tc>
        <w:tc>
          <w:tcPr>
            <w:tcW w:w="1105" w:type="dxa"/>
            <w:vMerge/>
            <w:tcBorders>
              <w:top w:val="nil"/>
              <w:left w:val="nil"/>
              <w:bottom w:val="single" w:sz="4" w:space="0" w:color="auto"/>
              <w:right w:val="nil"/>
            </w:tcBorders>
            <w:vAlign w:val="center"/>
          </w:tcPr>
          <w:p w14:paraId="5D3B1562" w14:textId="77777777" w:rsidR="008E5C9D" w:rsidRPr="00E86BE9" w:rsidRDefault="008E5C9D">
            <w:pPr>
              <w:widowControl/>
              <w:jc w:val="left"/>
              <w:rPr>
                <w:rFonts w:ascii="Times New Roman" w:hAnsi="Times New Roman"/>
                <w:sz w:val="18"/>
                <w:szCs w:val="18"/>
              </w:rPr>
            </w:pPr>
          </w:p>
        </w:tc>
        <w:tc>
          <w:tcPr>
            <w:tcW w:w="1935" w:type="dxa"/>
            <w:vMerge/>
            <w:tcBorders>
              <w:top w:val="nil"/>
              <w:left w:val="nil"/>
              <w:bottom w:val="single" w:sz="4" w:space="0" w:color="auto"/>
              <w:right w:val="nil"/>
            </w:tcBorders>
            <w:vAlign w:val="center"/>
          </w:tcPr>
          <w:p w14:paraId="3EB02F29" w14:textId="77777777" w:rsidR="008E5C9D" w:rsidRPr="00E86BE9" w:rsidRDefault="008E5C9D">
            <w:pPr>
              <w:widowControl/>
              <w:jc w:val="left"/>
              <w:rPr>
                <w:rFonts w:ascii="Times New Roman" w:hAnsi="Times New Roman"/>
                <w:sz w:val="18"/>
                <w:szCs w:val="18"/>
              </w:rPr>
            </w:pPr>
          </w:p>
        </w:tc>
        <w:tc>
          <w:tcPr>
            <w:tcW w:w="2160" w:type="dxa"/>
            <w:tcBorders>
              <w:top w:val="single" w:sz="4" w:space="0" w:color="auto"/>
              <w:left w:val="nil"/>
              <w:bottom w:val="single" w:sz="4" w:space="0" w:color="auto"/>
              <w:right w:val="nil"/>
            </w:tcBorders>
            <w:vAlign w:val="center"/>
          </w:tcPr>
          <w:p w14:paraId="080E1A9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Dull to dark red luminescent</w:t>
            </w:r>
          </w:p>
        </w:tc>
        <w:tc>
          <w:tcPr>
            <w:tcW w:w="5289" w:type="dxa"/>
            <w:tcBorders>
              <w:top w:val="single" w:sz="4" w:space="0" w:color="auto"/>
              <w:left w:val="nil"/>
              <w:bottom w:val="single" w:sz="4" w:space="0" w:color="auto"/>
              <w:right w:val="nil"/>
            </w:tcBorders>
            <w:vAlign w:val="center"/>
          </w:tcPr>
          <w:p w14:paraId="201E5BB6"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Same as H19, oil stained. About 20 m from the section where there is loss of circulation</w:t>
            </w:r>
          </w:p>
        </w:tc>
      </w:tr>
      <w:tr w:rsidR="00E86BE9" w:rsidRPr="00E86BE9" w14:paraId="5CCF6716" w14:textId="77777777">
        <w:tc>
          <w:tcPr>
            <w:tcW w:w="735" w:type="dxa"/>
            <w:tcBorders>
              <w:top w:val="single" w:sz="4" w:space="0" w:color="auto"/>
              <w:left w:val="nil"/>
              <w:bottom w:val="single" w:sz="4" w:space="0" w:color="auto"/>
              <w:right w:val="nil"/>
            </w:tcBorders>
            <w:vAlign w:val="center"/>
          </w:tcPr>
          <w:p w14:paraId="6F6F6C3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H17</w:t>
            </w:r>
          </w:p>
        </w:tc>
        <w:tc>
          <w:tcPr>
            <w:tcW w:w="791" w:type="dxa"/>
            <w:tcBorders>
              <w:top w:val="single" w:sz="4" w:space="0" w:color="auto"/>
              <w:left w:val="nil"/>
              <w:bottom w:val="single" w:sz="4" w:space="0" w:color="auto"/>
              <w:right w:val="nil"/>
            </w:tcBorders>
            <w:vAlign w:val="center"/>
          </w:tcPr>
          <w:p w14:paraId="2096B2BA"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Jy2</w:t>
            </w:r>
          </w:p>
        </w:tc>
        <w:tc>
          <w:tcPr>
            <w:tcW w:w="850" w:type="dxa"/>
            <w:tcBorders>
              <w:top w:val="single" w:sz="4" w:space="0" w:color="auto"/>
              <w:left w:val="nil"/>
              <w:bottom w:val="single" w:sz="4" w:space="0" w:color="auto"/>
              <w:right w:val="nil"/>
            </w:tcBorders>
            <w:vAlign w:val="center"/>
          </w:tcPr>
          <w:p w14:paraId="5053471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993" w:type="dxa"/>
            <w:vMerge/>
            <w:tcBorders>
              <w:top w:val="nil"/>
              <w:left w:val="nil"/>
              <w:bottom w:val="single" w:sz="4" w:space="0" w:color="auto"/>
              <w:right w:val="nil"/>
            </w:tcBorders>
            <w:vAlign w:val="center"/>
          </w:tcPr>
          <w:p w14:paraId="25DAF5B4" w14:textId="77777777" w:rsidR="008E5C9D" w:rsidRPr="00E86BE9" w:rsidRDefault="008E5C9D">
            <w:pPr>
              <w:widowControl/>
              <w:jc w:val="left"/>
              <w:rPr>
                <w:rFonts w:ascii="Times New Roman" w:hAnsi="Times New Roman"/>
                <w:sz w:val="18"/>
                <w:szCs w:val="18"/>
              </w:rPr>
            </w:pPr>
          </w:p>
        </w:tc>
        <w:tc>
          <w:tcPr>
            <w:tcW w:w="1105" w:type="dxa"/>
            <w:vMerge w:val="restart"/>
            <w:tcBorders>
              <w:top w:val="nil"/>
              <w:left w:val="nil"/>
              <w:bottom w:val="single" w:sz="4" w:space="0" w:color="auto"/>
              <w:right w:val="nil"/>
            </w:tcBorders>
            <w:vAlign w:val="center"/>
          </w:tcPr>
          <w:p w14:paraId="5C10C4A5"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SFC-2</w:t>
            </w:r>
          </w:p>
        </w:tc>
        <w:tc>
          <w:tcPr>
            <w:tcW w:w="1935" w:type="dxa"/>
            <w:vMerge w:val="restart"/>
            <w:tcBorders>
              <w:top w:val="nil"/>
              <w:left w:val="nil"/>
              <w:bottom w:val="single" w:sz="4" w:space="0" w:color="auto"/>
              <w:right w:val="nil"/>
            </w:tcBorders>
            <w:vAlign w:val="center"/>
          </w:tcPr>
          <w:p w14:paraId="0A54C80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Syntaxial, up to 2 mm</w:t>
            </w:r>
          </w:p>
          <w:p w14:paraId="7189B4F0" w14:textId="77777777" w:rsidR="008E5C9D" w:rsidRPr="00E86BE9" w:rsidRDefault="008E5C9D">
            <w:pPr>
              <w:adjustRightInd w:val="0"/>
              <w:snapToGrid w:val="0"/>
              <w:rPr>
                <w:rFonts w:ascii="Times New Roman" w:hAnsi="Times New Roman"/>
                <w:sz w:val="18"/>
                <w:szCs w:val="18"/>
              </w:rPr>
            </w:pPr>
          </w:p>
        </w:tc>
        <w:tc>
          <w:tcPr>
            <w:tcW w:w="2160" w:type="dxa"/>
            <w:tcBorders>
              <w:top w:val="single" w:sz="4" w:space="0" w:color="auto"/>
              <w:left w:val="nil"/>
              <w:bottom w:val="single" w:sz="4" w:space="0" w:color="auto"/>
              <w:right w:val="nil"/>
            </w:tcBorders>
            <w:vAlign w:val="center"/>
          </w:tcPr>
          <w:p w14:paraId="4AEF4E9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Dull to bright orange luminescent</w:t>
            </w:r>
          </w:p>
        </w:tc>
        <w:tc>
          <w:tcPr>
            <w:tcW w:w="5289" w:type="dxa"/>
            <w:tcBorders>
              <w:top w:val="single" w:sz="4" w:space="0" w:color="auto"/>
              <w:left w:val="nil"/>
              <w:bottom w:val="single" w:sz="4" w:space="0" w:color="auto"/>
              <w:right w:val="nil"/>
            </w:tcBorders>
            <w:vAlign w:val="center"/>
          </w:tcPr>
          <w:p w14:paraId="59A6531D"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hint="eastAsia"/>
                <w:kern w:val="0"/>
                <w:sz w:val="18"/>
                <w:szCs w:val="18"/>
              </w:rPr>
              <w:t>P</w:t>
            </w:r>
            <w:r w:rsidRPr="00E86BE9">
              <w:rPr>
                <w:rFonts w:ascii="Times New Roman" w:hAnsi="Times New Roman"/>
                <w:kern w:val="0"/>
                <w:sz w:val="18"/>
                <w:szCs w:val="18"/>
              </w:rPr>
              <w:t>artially filled with calcite, 0.5 cm in width, and has an inclination of 70°. Bit drops and loss of circulation occurred 2 m below the sample</w:t>
            </w:r>
          </w:p>
        </w:tc>
      </w:tr>
      <w:tr w:rsidR="00E86BE9" w:rsidRPr="00E86BE9" w14:paraId="6F3FDDA4" w14:textId="77777777">
        <w:tc>
          <w:tcPr>
            <w:tcW w:w="735" w:type="dxa"/>
            <w:tcBorders>
              <w:top w:val="single" w:sz="4" w:space="0" w:color="auto"/>
              <w:left w:val="nil"/>
              <w:bottom w:val="single" w:sz="4" w:space="0" w:color="auto"/>
              <w:right w:val="nil"/>
            </w:tcBorders>
            <w:vAlign w:val="center"/>
          </w:tcPr>
          <w:p w14:paraId="1BB291E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H16-2</w:t>
            </w:r>
          </w:p>
        </w:tc>
        <w:tc>
          <w:tcPr>
            <w:tcW w:w="791" w:type="dxa"/>
            <w:tcBorders>
              <w:top w:val="single" w:sz="4" w:space="0" w:color="auto"/>
              <w:left w:val="nil"/>
              <w:bottom w:val="single" w:sz="4" w:space="0" w:color="auto"/>
              <w:right w:val="nil"/>
            </w:tcBorders>
            <w:vAlign w:val="center"/>
          </w:tcPr>
          <w:p w14:paraId="2C934B3E"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Jy2</w:t>
            </w:r>
          </w:p>
        </w:tc>
        <w:tc>
          <w:tcPr>
            <w:tcW w:w="850" w:type="dxa"/>
            <w:tcBorders>
              <w:top w:val="single" w:sz="4" w:space="0" w:color="auto"/>
              <w:left w:val="nil"/>
              <w:bottom w:val="single" w:sz="4" w:space="0" w:color="auto"/>
              <w:right w:val="nil"/>
            </w:tcBorders>
            <w:vAlign w:val="center"/>
          </w:tcPr>
          <w:p w14:paraId="29BA4F95"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993" w:type="dxa"/>
            <w:vMerge/>
            <w:tcBorders>
              <w:top w:val="nil"/>
              <w:left w:val="nil"/>
              <w:bottom w:val="single" w:sz="4" w:space="0" w:color="auto"/>
              <w:right w:val="nil"/>
            </w:tcBorders>
            <w:vAlign w:val="center"/>
          </w:tcPr>
          <w:p w14:paraId="6B8BDA99" w14:textId="77777777" w:rsidR="008E5C9D" w:rsidRPr="00E86BE9" w:rsidRDefault="008E5C9D">
            <w:pPr>
              <w:widowControl/>
              <w:jc w:val="left"/>
              <w:rPr>
                <w:rFonts w:ascii="Times New Roman" w:hAnsi="Times New Roman"/>
                <w:sz w:val="18"/>
                <w:szCs w:val="18"/>
              </w:rPr>
            </w:pPr>
          </w:p>
        </w:tc>
        <w:tc>
          <w:tcPr>
            <w:tcW w:w="1105" w:type="dxa"/>
            <w:vMerge/>
            <w:tcBorders>
              <w:top w:val="nil"/>
              <w:left w:val="nil"/>
              <w:bottom w:val="single" w:sz="4" w:space="0" w:color="auto"/>
              <w:right w:val="nil"/>
            </w:tcBorders>
            <w:vAlign w:val="center"/>
          </w:tcPr>
          <w:p w14:paraId="6F4E06C1" w14:textId="77777777" w:rsidR="008E5C9D" w:rsidRPr="00E86BE9" w:rsidRDefault="008E5C9D">
            <w:pPr>
              <w:widowControl/>
              <w:jc w:val="left"/>
              <w:rPr>
                <w:rFonts w:ascii="Times New Roman" w:hAnsi="Times New Roman"/>
                <w:sz w:val="18"/>
                <w:szCs w:val="18"/>
              </w:rPr>
            </w:pPr>
          </w:p>
        </w:tc>
        <w:tc>
          <w:tcPr>
            <w:tcW w:w="1935" w:type="dxa"/>
            <w:vMerge/>
            <w:tcBorders>
              <w:top w:val="nil"/>
              <w:left w:val="nil"/>
              <w:bottom w:val="single" w:sz="4" w:space="0" w:color="auto"/>
              <w:right w:val="nil"/>
            </w:tcBorders>
            <w:vAlign w:val="center"/>
          </w:tcPr>
          <w:p w14:paraId="1F661EF7" w14:textId="77777777" w:rsidR="008E5C9D" w:rsidRPr="00E86BE9" w:rsidRDefault="008E5C9D">
            <w:pPr>
              <w:widowControl/>
              <w:jc w:val="left"/>
              <w:rPr>
                <w:rFonts w:ascii="Times New Roman" w:hAnsi="Times New Roman"/>
                <w:sz w:val="18"/>
                <w:szCs w:val="18"/>
              </w:rPr>
            </w:pPr>
          </w:p>
        </w:tc>
        <w:tc>
          <w:tcPr>
            <w:tcW w:w="2160" w:type="dxa"/>
            <w:tcBorders>
              <w:top w:val="single" w:sz="4" w:space="0" w:color="auto"/>
              <w:left w:val="nil"/>
              <w:bottom w:val="single" w:sz="4" w:space="0" w:color="auto"/>
              <w:right w:val="nil"/>
            </w:tcBorders>
            <w:vAlign w:val="center"/>
          </w:tcPr>
          <w:p w14:paraId="2BBE9F2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dark red to bright orange zoned</w:t>
            </w:r>
          </w:p>
        </w:tc>
        <w:tc>
          <w:tcPr>
            <w:tcW w:w="5289" w:type="dxa"/>
            <w:tcBorders>
              <w:top w:val="single" w:sz="4" w:space="0" w:color="auto"/>
              <w:left w:val="nil"/>
              <w:bottom w:val="single" w:sz="4" w:space="0" w:color="auto"/>
              <w:right w:val="nil"/>
            </w:tcBorders>
            <w:vAlign w:val="center"/>
          </w:tcPr>
          <w:p w14:paraId="4AEC8890" w14:textId="77777777" w:rsidR="008E5C9D" w:rsidRPr="00E86BE9" w:rsidRDefault="00996D18">
            <w:pPr>
              <w:adjustRightInd w:val="0"/>
              <w:snapToGrid w:val="0"/>
              <w:ind w:left="180" w:hangingChars="100" w:hanging="180"/>
              <w:rPr>
                <w:rFonts w:ascii="Times New Roman" w:hAnsi="Times New Roman"/>
                <w:sz w:val="18"/>
                <w:szCs w:val="18"/>
              </w:rPr>
            </w:pPr>
            <w:r w:rsidRPr="00E86BE9">
              <w:rPr>
                <w:rFonts w:ascii="Times New Roman" w:hAnsi="Times New Roman"/>
                <w:kern w:val="0"/>
                <w:sz w:val="18"/>
                <w:szCs w:val="18"/>
              </w:rPr>
              <w:t>Vertical fractures filled with a little calcite, also called as calcite bridge, 0.1 cm in width, cut the entire fabric</w:t>
            </w:r>
          </w:p>
        </w:tc>
      </w:tr>
      <w:tr w:rsidR="00E86BE9" w:rsidRPr="00E86BE9" w14:paraId="44021BB0" w14:textId="77777777">
        <w:tc>
          <w:tcPr>
            <w:tcW w:w="735" w:type="dxa"/>
            <w:tcBorders>
              <w:top w:val="single" w:sz="4" w:space="0" w:color="auto"/>
              <w:left w:val="nil"/>
              <w:bottom w:val="single" w:sz="4" w:space="0" w:color="auto"/>
              <w:right w:val="nil"/>
            </w:tcBorders>
            <w:vAlign w:val="center"/>
          </w:tcPr>
          <w:p w14:paraId="0026DAE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H14</w:t>
            </w:r>
          </w:p>
        </w:tc>
        <w:tc>
          <w:tcPr>
            <w:tcW w:w="791" w:type="dxa"/>
            <w:tcBorders>
              <w:top w:val="single" w:sz="4" w:space="0" w:color="auto"/>
              <w:left w:val="nil"/>
              <w:bottom w:val="single" w:sz="4" w:space="0" w:color="auto"/>
              <w:right w:val="nil"/>
            </w:tcBorders>
            <w:vAlign w:val="center"/>
          </w:tcPr>
          <w:p w14:paraId="6DA8D9B5"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Q2</w:t>
            </w:r>
          </w:p>
        </w:tc>
        <w:tc>
          <w:tcPr>
            <w:tcW w:w="850" w:type="dxa"/>
            <w:tcBorders>
              <w:top w:val="single" w:sz="4" w:space="0" w:color="auto"/>
              <w:left w:val="nil"/>
              <w:bottom w:val="single" w:sz="4" w:space="0" w:color="auto"/>
              <w:right w:val="nil"/>
            </w:tcBorders>
            <w:vAlign w:val="center"/>
          </w:tcPr>
          <w:p w14:paraId="01B4F66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O3t</w:t>
            </w:r>
          </w:p>
        </w:tc>
        <w:tc>
          <w:tcPr>
            <w:tcW w:w="993" w:type="dxa"/>
            <w:vMerge/>
            <w:tcBorders>
              <w:top w:val="nil"/>
              <w:left w:val="nil"/>
              <w:bottom w:val="single" w:sz="4" w:space="0" w:color="auto"/>
              <w:right w:val="nil"/>
            </w:tcBorders>
            <w:vAlign w:val="center"/>
          </w:tcPr>
          <w:p w14:paraId="165CD89C" w14:textId="77777777" w:rsidR="008E5C9D" w:rsidRPr="00E86BE9" w:rsidRDefault="008E5C9D">
            <w:pPr>
              <w:widowControl/>
              <w:jc w:val="left"/>
              <w:rPr>
                <w:rFonts w:ascii="Times New Roman" w:hAnsi="Times New Roman"/>
                <w:sz w:val="18"/>
                <w:szCs w:val="18"/>
              </w:rPr>
            </w:pPr>
          </w:p>
        </w:tc>
        <w:tc>
          <w:tcPr>
            <w:tcW w:w="1105" w:type="dxa"/>
            <w:tcBorders>
              <w:top w:val="single" w:sz="4" w:space="0" w:color="auto"/>
              <w:left w:val="nil"/>
              <w:bottom w:val="single" w:sz="4" w:space="0" w:color="auto"/>
              <w:right w:val="nil"/>
            </w:tcBorders>
            <w:vAlign w:val="center"/>
          </w:tcPr>
          <w:p w14:paraId="02EE855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SFC-3</w:t>
            </w:r>
          </w:p>
        </w:tc>
        <w:tc>
          <w:tcPr>
            <w:tcW w:w="1935" w:type="dxa"/>
            <w:tcBorders>
              <w:top w:val="single" w:sz="4" w:space="0" w:color="auto"/>
              <w:left w:val="nil"/>
              <w:bottom w:val="single" w:sz="4" w:space="0" w:color="auto"/>
              <w:right w:val="nil"/>
            </w:tcBorders>
            <w:vAlign w:val="center"/>
          </w:tcPr>
          <w:p w14:paraId="137DE240" w14:textId="77777777" w:rsidR="008E5C9D" w:rsidRPr="00E86BE9" w:rsidRDefault="008E5C9D">
            <w:pPr>
              <w:adjustRightInd w:val="0"/>
              <w:snapToGrid w:val="0"/>
              <w:rPr>
                <w:rFonts w:ascii="Times New Roman" w:hAnsi="Times New Roman"/>
                <w:sz w:val="18"/>
                <w:szCs w:val="18"/>
              </w:rPr>
            </w:pPr>
          </w:p>
        </w:tc>
        <w:tc>
          <w:tcPr>
            <w:tcW w:w="2160" w:type="dxa"/>
            <w:tcBorders>
              <w:top w:val="single" w:sz="4" w:space="0" w:color="auto"/>
              <w:left w:val="nil"/>
              <w:bottom w:val="single" w:sz="4" w:space="0" w:color="auto"/>
              <w:right w:val="nil"/>
            </w:tcBorders>
            <w:vAlign w:val="center"/>
          </w:tcPr>
          <w:p w14:paraId="5F5D78F5"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orange to bright orange luminescent</w:t>
            </w:r>
          </w:p>
        </w:tc>
        <w:tc>
          <w:tcPr>
            <w:tcW w:w="5289" w:type="dxa"/>
            <w:tcBorders>
              <w:top w:val="single" w:sz="4" w:space="0" w:color="auto"/>
              <w:left w:val="nil"/>
              <w:bottom w:val="single" w:sz="4" w:space="0" w:color="auto"/>
              <w:right w:val="nil"/>
            </w:tcBorders>
            <w:vAlign w:val="center"/>
          </w:tcPr>
          <w:p w14:paraId="1FF63954"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Completely filled with calcite, 1 cm in width, bit drops and loss of circulation occurred below the sample</w:t>
            </w:r>
          </w:p>
        </w:tc>
      </w:tr>
      <w:tr w:rsidR="00E86BE9" w:rsidRPr="00E86BE9" w14:paraId="79C270A6" w14:textId="77777777">
        <w:trPr>
          <w:trHeight w:val="721"/>
        </w:trPr>
        <w:tc>
          <w:tcPr>
            <w:tcW w:w="735" w:type="dxa"/>
            <w:tcBorders>
              <w:top w:val="single" w:sz="4" w:space="0" w:color="auto"/>
              <w:left w:val="nil"/>
              <w:bottom w:val="single" w:sz="4" w:space="0" w:color="auto"/>
              <w:right w:val="nil"/>
            </w:tcBorders>
            <w:vAlign w:val="center"/>
          </w:tcPr>
          <w:p w14:paraId="1FED166A"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H1</w:t>
            </w:r>
          </w:p>
        </w:tc>
        <w:tc>
          <w:tcPr>
            <w:tcW w:w="791" w:type="dxa"/>
            <w:tcBorders>
              <w:top w:val="single" w:sz="4" w:space="0" w:color="auto"/>
              <w:left w:val="nil"/>
              <w:bottom w:val="single" w:sz="4" w:space="0" w:color="auto"/>
              <w:right w:val="nil"/>
            </w:tcBorders>
            <w:vAlign w:val="center"/>
          </w:tcPr>
          <w:p w14:paraId="6581B46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Qg1</w:t>
            </w:r>
          </w:p>
        </w:tc>
        <w:tc>
          <w:tcPr>
            <w:tcW w:w="850" w:type="dxa"/>
            <w:tcBorders>
              <w:top w:val="single" w:sz="4" w:space="0" w:color="auto"/>
              <w:left w:val="nil"/>
              <w:bottom w:val="single" w:sz="4" w:space="0" w:color="auto"/>
              <w:right w:val="nil"/>
            </w:tcBorders>
            <w:vAlign w:val="center"/>
          </w:tcPr>
          <w:p w14:paraId="3BF3A43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val="restart"/>
            <w:tcBorders>
              <w:top w:val="nil"/>
              <w:left w:val="nil"/>
              <w:bottom w:val="single" w:sz="4" w:space="0" w:color="auto"/>
              <w:right w:val="nil"/>
            </w:tcBorders>
            <w:vAlign w:val="center"/>
          </w:tcPr>
          <w:p w14:paraId="0CEFE465" w14:textId="77777777" w:rsidR="008E5C9D" w:rsidRPr="00E86BE9" w:rsidRDefault="00996D18">
            <w:pPr>
              <w:adjustRightInd w:val="0"/>
              <w:snapToGrid w:val="0"/>
              <w:rPr>
                <w:rFonts w:ascii="Times New Roman" w:hAnsi="Times New Roman"/>
                <w:sz w:val="18"/>
                <w:szCs w:val="18"/>
              </w:rPr>
            </w:pPr>
            <w:proofErr w:type="spellStart"/>
            <w:r w:rsidRPr="00E86BE9">
              <w:rPr>
                <w:rFonts w:ascii="Times New Roman" w:hAnsi="Times New Roman"/>
                <w:kern w:val="0"/>
                <w:sz w:val="18"/>
                <w:szCs w:val="18"/>
              </w:rPr>
              <w:t>Megacrystalline</w:t>
            </w:r>
            <w:proofErr w:type="spellEnd"/>
            <w:r w:rsidRPr="00E86BE9">
              <w:rPr>
                <w:rFonts w:ascii="Times New Roman" w:hAnsi="Times New Roman"/>
                <w:kern w:val="0"/>
                <w:sz w:val="18"/>
                <w:szCs w:val="18"/>
              </w:rPr>
              <w:t xml:space="preserve"> calcite (MC)</w:t>
            </w:r>
          </w:p>
        </w:tc>
        <w:tc>
          <w:tcPr>
            <w:tcW w:w="1935" w:type="dxa"/>
            <w:tcBorders>
              <w:top w:val="single" w:sz="4" w:space="0" w:color="auto"/>
              <w:left w:val="nil"/>
              <w:bottom w:val="single" w:sz="4" w:space="0" w:color="auto"/>
              <w:right w:val="nil"/>
            </w:tcBorders>
            <w:vAlign w:val="center"/>
          </w:tcPr>
          <w:p w14:paraId="6A19A751"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hint="eastAsia"/>
                <w:kern w:val="0"/>
                <w:sz w:val="18"/>
                <w:szCs w:val="18"/>
              </w:rPr>
              <w:t xml:space="preserve">Generation 1 (H1-1): </w:t>
            </w:r>
            <w:r w:rsidRPr="00E86BE9">
              <w:rPr>
                <w:rFonts w:ascii="Times New Roman" w:hAnsi="Times New Roman"/>
                <w:kern w:val="0"/>
                <w:sz w:val="18"/>
                <w:szCs w:val="18"/>
              </w:rPr>
              <w:t>blocky (&gt;5 cm</w:t>
            </w:r>
            <w:proofErr w:type="gramStart"/>
            <w:r w:rsidRPr="00E86BE9">
              <w:rPr>
                <w:rFonts w:ascii="Times New Roman" w:hAnsi="Times New Roman"/>
                <w:kern w:val="0"/>
                <w:sz w:val="18"/>
                <w:szCs w:val="18"/>
              </w:rPr>
              <w:t>)</w:t>
            </w:r>
            <w:r w:rsidRPr="00E86BE9">
              <w:rPr>
                <w:rFonts w:ascii="Times New Roman" w:hAnsi="Times New Roman" w:hint="eastAsia"/>
                <w:kern w:val="0"/>
                <w:sz w:val="18"/>
                <w:szCs w:val="18"/>
              </w:rPr>
              <w:t>;</w:t>
            </w:r>
            <w:r w:rsidRPr="00E86BE9">
              <w:rPr>
                <w:rFonts w:ascii="Times New Roman" w:hAnsi="Times New Roman"/>
                <w:kern w:val="0"/>
                <w:sz w:val="18"/>
                <w:szCs w:val="18"/>
              </w:rPr>
              <w:t xml:space="preserve">  </w:t>
            </w:r>
            <w:r w:rsidRPr="00E86BE9">
              <w:rPr>
                <w:rFonts w:ascii="Times New Roman" w:hAnsi="Times New Roman" w:hint="eastAsia"/>
                <w:kern w:val="0"/>
                <w:sz w:val="18"/>
                <w:szCs w:val="18"/>
              </w:rPr>
              <w:t>G</w:t>
            </w:r>
            <w:r w:rsidRPr="00E86BE9">
              <w:rPr>
                <w:rFonts w:ascii="Times New Roman" w:hAnsi="Times New Roman"/>
                <w:kern w:val="0"/>
                <w:sz w:val="18"/>
                <w:szCs w:val="18"/>
              </w:rPr>
              <w:t>eneration</w:t>
            </w:r>
            <w:proofErr w:type="gramEnd"/>
            <w:r w:rsidRPr="00E86BE9">
              <w:rPr>
                <w:rFonts w:ascii="Times New Roman" w:hAnsi="Times New Roman" w:hint="eastAsia"/>
                <w:kern w:val="0"/>
                <w:sz w:val="18"/>
                <w:szCs w:val="18"/>
              </w:rPr>
              <w:t xml:space="preserve"> 2 (H1-2)</w:t>
            </w:r>
            <w:r w:rsidRPr="00E86BE9">
              <w:rPr>
                <w:rFonts w:ascii="Times New Roman" w:hAnsi="Times New Roman"/>
                <w:kern w:val="0"/>
                <w:sz w:val="18"/>
                <w:szCs w:val="18"/>
              </w:rPr>
              <w:t>: zoned (~ 1 mm)</w:t>
            </w:r>
          </w:p>
        </w:tc>
        <w:tc>
          <w:tcPr>
            <w:tcW w:w="2160" w:type="dxa"/>
            <w:tcBorders>
              <w:top w:val="single" w:sz="4" w:space="0" w:color="auto"/>
              <w:left w:val="nil"/>
              <w:bottom w:val="single" w:sz="4" w:space="0" w:color="auto"/>
              <w:right w:val="nil"/>
            </w:tcBorders>
            <w:vAlign w:val="center"/>
          </w:tcPr>
          <w:p w14:paraId="7534CA34" w14:textId="77777777" w:rsidR="008E5C9D" w:rsidRPr="00E86BE9" w:rsidRDefault="00996D18">
            <w:pPr>
              <w:adjustRightInd w:val="0"/>
              <w:snapToGrid w:val="0"/>
              <w:rPr>
                <w:rFonts w:ascii="Times New Roman" w:hAnsi="Times New Roman"/>
                <w:kern w:val="0"/>
                <w:sz w:val="18"/>
                <w:szCs w:val="18"/>
              </w:rPr>
            </w:pPr>
            <w:r w:rsidRPr="00E86BE9">
              <w:rPr>
                <w:rFonts w:ascii="Times New Roman" w:hAnsi="Times New Roman" w:hint="eastAsia"/>
                <w:kern w:val="0"/>
                <w:sz w:val="18"/>
                <w:szCs w:val="18"/>
              </w:rPr>
              <w:t xml:space="preserve">Generation 1 (H1-1): </w:t>
            </w:r>
            <w:r w:rsidRPr="00E86BE9">
              <w:rPr>
                <w:rFonts w:ascii="Times New Roman" w:hAnsi="Times New Roman"/>
                <w:kern w:val="0"/>
                <w:sz w:val="18"/>
                <w:szCs w:val="18"/>
              </w:rPr>
              <w:t>Massive homogeneous orange</w:t>
            </w:r>
            <w:r w:rsidRPr="00E86BE9">
              <w:rPr>
                <w:rFonts w:ascii="Times New Roman" w:hAnsi="Times New Roman" w:hint="eastAsia"/>
                <w:kern w:val="0"/>
                <w:sz w:val="18"/>
                <w:szCs w:val="18"/>
              </w:rPr>
              <w:t>；</w:t>
            </w:r>
          </w:p>
          <w:p w14:paraId="053E2FCB"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 xml:space="preserve"> </w:t>
            </w:r>
            <w:r w:rsidRPr="00E86BE9">
              <w:rPr>
                <w:rFonts w:ascii="Times New Roman" w:hAnsi="Times New Roman" w:hint="eastAsia"/>
                <w:kern w:val="0"/>
                <w:sz w:val="18"/>
                <w:szCs w:val="18"/>
              </w:rPr>
              <w:t>G</w:t>
            </w:r>
            <w:r w:rsidRPr="00E86BE9">
              <w:rPr>
                <w:rFonts w:ascii="Times New Roman" w:hAnsi="Times New Roman"/>
                <w:kern w:val="0"/>
                <w:sz w:val="18"/>
                <w:szCs w:val="18"/>
              </w:rPr>
              <w:t>eneration</w:t>
            </w:r>
            <w:r w:rsidRPr="00E86BE9">
              <w:rPr>
                <w:rFonts w:ascii="Times New Roman" w:hAnsi="Times New Roman" w:hint="eastAsia"/>
                <w:kern w:val="0"/>
                <w:sz w:val="18"/>
                <w:szCs w:val="18"/>
              </w:rPr>
              <w:t xml:space="preserve"> 2 (H1-2)</w:t>
            </w:r>
            <w:r w:rsidRPr="00E86BE9">
              <w:rPr>
                <w:rFonts w:ascii="Times New Roman" w:hAnsi="Times New Roman"/>
                <w:kern w:val="0"/>
                <w:sz w:val="18"/>
                <w:szCs w:val="18"/>
              </w:rPr>
              <w:t>: dull to bright orange zoned</w:t>
            </w:r>
            <w:r w:rsidRPr="00E86BE9">
              <w:rPr>
                <w:rFonts w:ascii="Times New Roman" w:hAnsi="Times New Roman" w:hint="eastAsia"/>
                <w:kern w:val="0"/>
                <w:sz w:val="18"/>
                <w:szCs w:val="18"/>
              </w:rPr>
              <w:t>;</w:t>
            </w:r>
            <w:r w:rsidRPr="00E86BE9">
              <w:rPr>
                <w:rFonts w:ascii="Times New Roman" w:hAnsi="Times New Roman"/>
                <w:kern w:val="0"/>
                <w:sz w:val="18"/>
                <w:szCs w:val="18"/>
              </w:rPr>
              <w:t xml:space="preserve"> </w:t>
            </w:r>
          </w:p>
        </w:tc>
        <w:tc>
          <w:tcPr>
            <w:tcW w:w="5289" w:type="dxa"/>
            <w:tcBorders>
              <w:top w:val="single" w:sz="4" w:space="0" w:color="auto"/>
              <w:left w:val="nil"/>
              <w:bottom w:val="single" w:sz="4" w:space="0" w:color="auto"/>
              <w:right w:val="nil"/>
            </w:tcBorders>
            <w:vAlign w:val="center"/>
          </w:tcPr>
          <w:p w14:paraId="3DBC3ECF"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 xml:space="preserve">0.5 m thick in cores, core recovery is 60% </w:t>
            </w:r>
          </w:p>
        </w:tc>
      </w:tr>
      <w:tr w:rsidR="00E86BE9" w:rsidRPr="00E86BE9" w14:paraId="185AA289" w14:textId="77777777">
        <w:tc>
          <w:tcPr>
            <w:tcW w:w="735" w:type="dxa"/>
            <w:tcBorders>
              <w:top w:val="single" w:sz="4" w:space="0" w:color="auto"/>
              <w:left w:val="nil"/>
              <w:bottom w:val="single" w:sz="4" w:space="0" w:color="auto"/>
              <w:right w:val="nil"/>
            </w:tcBorders>
            <w:vAlign w:val="center"/>
          </w:tcPr>
          <w:p w14:paraId="33688E4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H3</w:t>
            </w:r>
          </w:p>
        </w:tc>
        <w:tc>
          <w:tcPr>
            <w:tcW w:w="791" w:type="dxa"/>
            <w:tcBorders>
              <w:top w:val="single" w:sz="4" w:space="0" w:color="auto"/>
              <w:left w:val="nil"/>
              <w:bottom w:val="single" w:sz="4" w:space="0" w:color="auto"/>
              <w:right w:val="nil"/>
            </w:tcBorders>
            <w:vAlign w:val="center"/>
          </w:tcPr>
          <w:p w14:paraId="4D2660DA"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Qg1</w:t>
            </w:r>
          </w:p>
        </w:tc>
        <w:tc>
          <w:tcPr>
            <w:tcW w:w="850" w:type="dxa"/>
            <w:tcBorders>
              <w:top w:val="single" w:sz="4" w:space="0" w:color="auto"/>
              <w:left w:val="nil"/>
              <w:bottom w:val="single" w:sz="4" w:space="0" w:color="auto"/>
              <w:right w:val="nil"/>
            </w:tcBorders>
            <w:vAlign w:val="center"/>
          </w:tcPr>
          <w:p w14:paraId="545E741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4698A1F2" w14:textId="77777777" w:rsidR="008E5C9D" w:rsidRPr="00E86BE9" w:rsidRDefault="008E5C9D">
            <w:pPr>
              <w:widowControl/>
              <w:jc w:val="left"/>
              <w:rPr>
                <w:rFonts w:ascii="Times New Roman" w:hAnsi="Times New Roman"/>
                <w:sz w:val="18"/>
                <w:szCs w:val="18"/>
              </w:rPr>
            </w:pPr>
          </w:p>
        </w:tc>
        <w:tc>
          <w:tcPr>
            <w:tcW w:w="1935" w:type="dxa"/>
            <w:tcBorders>
              <w:top w:val="single" w:sz="4" w:space="0" w:color="auto"/>
              <w:left w:val="nil"/>
              <w:bottom w:val="single" w:sz="4" w:space="0" w:color="auto"/>
              <w:right w:val="nil"/>
            </w:tcBorders>
            <w:vAlign w:val="center"/>
          </w:tcPr>
          <w:p w14:paraId="6889A9F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Blocky, &gt;10 cm</w:t>
            </w:r>
          </w:p>
        </w:tc>
        <w:tc>
          <w:tcPr>
            <w:tcW w:w="2160" w:type="dxa"/>
            <w:tcBorders>
              <w:top w:val="single" w:sz="4" w:space="0" w:color="auto"/>
              <w:left w:val="nil"/>
              <w:bottom w:val="single" w:sz="4" w:space="0" w:color="auto"/>
              <w:right w:val="nil"/>
            </w:tcBorders>
            <w:vAlign w:val="center"/>
          </w:tcPr>
          <w:p w14:paraId="044A3589"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dull to bright orange zoned</w:t>
            </w:r>
          </w:p>
        </w:tc>
        <w:tc>
          <w:tcPr>
            <w:tcW w:w="5289" w:type="dxa"/>
            <w:tcBorders>
              <w:top w:val="single" w:sz="4" w:space="0" w:color="auto"/>
              <w:left w:val="nil"/>
              <w:bottom w:val="single" w:sz="4" w:space="0" w:color="auto"/>
              <w:right w:val="nil"/>
            </w:tcBorders>
            <w:vAlign w:val="center"/>
          </w:tcPr>
          <w:p w14:paraId="2DF48337"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Fractures are larger than 1.5 cm in width and almost vertical, extending downward up to 10 m to connect with Sample H1</w:t>
            </w:r>
          </w:p>
        </w:tc>
      </w:tr>
      <w:tr w:rsidR="00E86BE9" w:rsidRPr="00E86BE9" w14:paraId="5A8A3A9E" w14:textId="77777777">
        <w:tc>
          <w:tcPr>
            <w:tcW w:w="735" w:type="dxa"/>
            <w:tcBorders>
              <w:top w:val="single" w:sz="4" w:space="0" w:color="auto"/>
              <w:left w:val="nil"/>
              <w:bottom w:val="single" w:sz="4" w:space="0" w:color="auto"/>
              <w:right w:val="nil"/>
            </w:tcBorders>
            <w:vAlign w:val="center"/>
          </w:tcPr>
          <w:p w14:paraId="681A152B"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H7</w:t>
            </w:r>
          </w:p>
        </w:tc>
        <w:tc>
          <w:tcPr>
            <w:tcW w:w="791" w:type="dxa"/>
            <w:tcBorders>
              <w:top w:val="single" w:sz="4" w:space="0" w:color="auto"/>
              <w:left w:val="nil"/>
              <w:bottom w:val="single" w:sz="4" w:space="0" w:color="auto"/>
              <w:right w:val="nil"/>
            </w:tcBorders>
            <w:vAlign w:val="center"/>
          </w:tcPr>
          <w:p w14:paraId="4BAB03B0"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H6-1</w:t>
            </w:r>
          </w:p>
        </w:tc>
        <w:tc>
          <w:tcPr>
            <w:tcW w:w="850" w:type="dxa"/>
            <w:tcBorders>
              <w:top w:val="single" w:sz="4" w:space="0" w:color="auto"/>
              <w:left w:val="nil"/>
              <w:bottom w:val="single" w:sz="4" w:space="0" w:color="auto"/>
              <w:right w:val="nil"/>
            </w:tcBorders>
            <w:vAlign w:val="center"/>
          </w:tcPr>
          <w:p w14:paraId="7AB9547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32E98DA1" w14:textId="77777777" w:rsidR="008E5C9D" w:rsidRPr="00E86BE9" w:rsidRDefault="008E5C9D">
            <w:pPr>
              <w:widowControl/>
              <w:jc w:val="left"/>
              <w:rPr>
                <w:rFonts w:ascii="Times New Roman" w:hAnsi="Times New Roman"/>
                <w:sz w:val="18"/>
                <w:szCs w:val="18"/>
              </w:rPr>
            </w:pPr>
          </w:p>
        </w:tc>
        <w:tc>
          <w:tcPr>
            <w:tcW w:w="1935" w:type="dxa"/>
            <w:tcBorders>
              <w:top w:val="single" w:sz="4" w:space="0" w:color="auto"/>
              <w:left w:val="nil"/>
              <w:bottom w:val="single" w:sz="4" w:space="0" w:color="auto"/>
              <w:right w:val="nil"/>
            </w:tcBorders>
            <w:vAlign w:val="center"/>
          </w:tcPr>
          <w:p w14:paraId="44EB28D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Two generations, blocky, &gt;10 cm</w:t>
            </w:r>
          </w:p>
        </w:tc>
        <w:tc>
          <w:tcPr>
            <w:tcW w:w="2160" w:type="dxa"/>
            <w:tcBorders>
              <w:top w:val="single" w:sz="4" w:space="0" w:color="auto"/>
              <w:left w:val="nil"/>
              <w:bottom w:val="single" w:sz="4" w:space="0" w:color="auto"/>
              <w:right w:val="nil"/>
            </w:tcBorders>
            <w:vAlign w:val="center"/>
          </w:tcPr>
          <w:p w14:paraId="0C8A814C" w14:textId="77777777" w:rsidR="008E5C9D" w:rsidRPr="00E86BE9" w:rsidRDefault="00996D18">
            <w:pPr>
              <w:adjustRightInd w:val="0"/>
              <w:snapToGrid w:val="0"/>
              <w:rPr>
                <w:rFonts w:ascii="Times New Roman" w:hAnsi="Times New Roman"/>
                <w:kern w:val="0"/>
                <w:sz w:val="18"/>
                <w:szCs w:val="18"/>
              </w:rPr>
            </w:pPr>
            <w:r w:rsidRPr="00E86BE9">
              <w:rPr>
                <w:rFonts w:ascii="Times New Roman" w:hAnsi="Times New Roman" w:hint="eastAsia"/>
                <w:kern w:val="0"/>
                <w:sz w:val="18"/>
                <w:szCs w:val="18"/>
              </w:rPr>
              <w:t>G</w:t>
            </w:r>
            <w:r w:rsidRPr="00E86BE9">
              <w:rPr>
                <w:rFonts w:ascii="Times New Roman" w:hAnsi="Times New Roman"/>
                <w:kern w:val="0"/>
                <w:sz w:val="18"/>
                <w:szCs w:val="18"/>
              </w:rPr>
              <w:t>eneration</w:t>
            </w:r>
            <w:r w:rsidRPr="00E86BE9">
              <w:rPr>
                <w:rFonts w:ascii="Times New Roman" w:hAnsi="Times New Roman" w:hint="eastAsia"/>
                <w:kern w:val="0"/>
                <w:sz w:val="18"/>
                <w:szCs w:val="18"/>
              </w:rPr>
              <w:t xml:space="preserve"> 1 (H7-1)</w:t>
            </w:r>
            <w:r w:rsidRPr="00E86BE9">
              <w:rPr>
                <w:rFonts w:ascii="Times New Roman" w:hAnsi="Times New Roman"/>
                <w:kern w:val="0"/>
                <w:sz w:val="18"/>
                <w:szCs w:val="18"/>
              </w:rPr>
              <w:t>:</w:t>
            </w:r>
            <w:r w:rsidRPr="00E86BE9">
              <w:rPr>
                <w:rFonts w:ascii="Times New Roman" w:hAnsi="Times New Roman" w:hint="eastAsia"/>
                <w:kern w:val="0"/>
                <w:sz w:val="18"/>
                <w:szCs w:val="18"/>
              </w:rPr>
              <w:t xml:space="preserve"> </w:t>
            </w:r>
            <w:r w:rsidRPr="00E86BE9">
              <w:rPr>
                <w:rFonts w:ascii="Times New Roman" w:hAnsi="Times New Roman"/>
                <w:kern w:val="0"/>
                <w:sz w:val="18"/>
                <w:szCs w:val="18"/>
              </w:rPr>
              <w:t>Non</w:t>
            </w:r>
            <w:r w:rsidRPr="00E86BE9">
              <w:rPr>
                <w:rFonts w:ascii="Times New Roman" w:hAnsi="Times New Roman" w:hint="eastAsia"/>
                <w:kern w:val="0"/>
                <w:sz w:val="18"/>
                <w:szCs w:val="18"/>
              </w:rPr>
              <w:t xml:space="preserve"> to dull </w:t>
            </w:r>
            <w:r w:rsidRPr="00E86BE9">
              <w:rPr>
                <w:rFonts w:ascii="Times New Roman" w:hAnsi="Times New Roman"/>
                <w:kern w:val="0"/>
                <w:sz w:val="18"/>
                <w:szCs w:val="18"/>
              </w:rPr>
              <w:t>luminescent</w:t>
            </w:r>
          </w:p>
          <w:p w14:paraId="388EF52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hint="eastAsia"/>
                <w:kern w:val="0"/>
                <w:sz w:val="18"/>
                <w:szCs w:val="18"/>
              </w:rPr>
              <w:t>G</w:t>
            </w:r>
            <w:r w:rsidRPr="00E86BE9">
              <w:rPr>
                <w:rFonts w:ascii="Times New Roman" w:hAnsi="Times New Roman"/>
                <w:kern w:val="0"/>
                <w:sz w:val="18"/>
                <w:szCs w:val="18"/>
              </w:rPr>
              <w:t>eneration</w:t>
            </w:r>
            <w:r w:rsidRPr="00E86BE9">
              <w:rPr>
                <w:rFonts w:ascii="Times New Roman" w:hAnsi="Times New Roman" w:hint="eastAsia"/>
                <w:kern w:val="0"/>
                <w:sz w:val="18"/>
                <w:szCs w:val="18"/>
              </w:rPr>
              <w:t xml:space="preserve"> 2 (H7-2)</w:t>
            </w:r>
            <w:r w:rsidRPr="00E86BE9">
              <w:rPr>
                <w:rFonts w:ascii="Times New Roman" w:hAnsi="Times New Roman"/>
                <w:kern w:val="0"/>
                <w:sz w:val="18"/>
                <w:szCs w:val="18"/>
              </w:rPr>
              <w:t>: bright orange luminescent</w:t>
            </w:r>
          </w:p>
        </w:tc>
        <w:tc>
          <w:tcPr>
            <w:tcW w:w="5289" w:type="dxa"/>
            <w:tcBorders>
              <w:top w:val="single" w:sz="4" w:space="0" w:color="auto"/>
              <w:left w:val="nil"/>
              <w:bottom w:val="single" w:sz="4" w:space="0" w:color="auto"/>
              <w:right w:val="nil"/>
            </w:tcBorders>
            <w:vAlign w:val="center"/>
          </w:tcPr>
          <w:p w14:paraId="5F5EFFDA"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0.3 m thick in core, curve boundary with the host rock</w:t>
            </w:r>
          </w:p>
        </w:tc>
      </w:tr>
      <w:tr w:rsidR="00E86BE9" w:rsidRPr="00E86BE9" w14:paraId="0CD527F3" w14:textId="77777777">
        <w:tc>
          <w:tcPr>
            <w:tcW w:w="735" w:type="dxa"/>
            <w:tcBorders>
              <w:top w:val="single" w:sz="4" w:space="0" w:color="auto"/>
              <w:left w:val="nil"/>
              <w:bottom w:val="single" w:sz="4" w:space="0" w:color="auto"/>
              <w:right w:val="nil"/>
            </w:tcBorders>
            <w:vAlign w:val="center"/>
          </w:tcPr>
          <w:p w14:paraId="03F792DF"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H9</w:t>
            </w:r>
          </w:p>
        </w:tc>
        <w:tc>
          <w:tcPr>
            <w:tcW w:w="791" w:type="dxa"/>
            <w:tcBorders>
              <w:top w:val="single" w:sz="4" w:space="0" w:color="auto"/>
              <w:left w:val="nil"/>
              <w:bottom w:val="single" w:sz="4" w:space="0" w:color="auto"/>
              <w:right w:val="nil"/>
            </w:tcBorders>
            <w:vAlign w:val="center"/>
          </w:tcPr>
          <w:p w14:paraId="4BCA35D3"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Xk8H</w:t>
            </w:r>
          </w:p>
        </w:tc>
        <w:tc>
          <w:tcPr>
            <w:tcW w:w="850" w:type="dxa"/>
            <w:tcBorders>
              <w:top w:val="single" w:sz="4" w:space="0" w:color="auto"/>
              <w:left w:val="nil"/>
              <w:bottom w:val="single" w:sz="4" w:space="0" w:color="auto"/>
              <w:right w:val="nil"/>
            </w:tcBorders>
            <w:vAlign w:val="center"/>
          </w:tcPr>
          <w:p w14:paraId="277FBE10"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vMerge/>
            <w:tcBorders>
              <w:top w:val="single" w:sz="4" w:space="0" w:color="auto"/>
              <w:left w:val="nil"/>
              <w:bottom w:val="single" w:sz="4" w:space="0" w:color="auto"/>
              <w:right w:val="nil"/>
            </w:tcBorders>
            <w:vAlign w:val="center"/>
          </w:tcPr>
          <w:p w14:paraId="6AAB408E" w14:textId="77777777" w:rsidR="008E5C9D" w:rsidRPr="00E86BE9" w:rsidRDefault="008E5C9D">
            <w:pPr>
              <w:widowControl/>
              <w:jc w:val="left"/>
              <w:rPr>
                <w:rFonts w:ascii="Times New Roman" w:hAnsi="Times New Roman"/>
                <w:sz w:val="18"/>
                <w:szCs w:val="18"/>
              </w:rPr>
            </w:pPr>
          </w:p>
        </w:tc>
        <w:tc>
          <w:tcPr>
            <w:tcW w:w="1935" w:type="dxa"/>
            <w:tcBorders>
              <w:top w:val="single" w:sz="4" w:space="0" w:color="auto"/>
              <w:left w:val="nil"/>
              <w:bottom w:val="single" w:sz="4" w:space="0" w:color="auto"/>
              <w:right w:val="nil"/>
            </w:tcBorders>
            <w:vAlign w:val="center"/>
          </w:tcPr>
          <w:p w14:paraId="46D8722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Blocky, &gt;10 cm</w:t>
            </w:r>
          </w:p>
        </w:tc>
        <w:tc>
          <w:tcPr>
            <w:tcW w:w="2160" w:type="dxa"/>
            <w:tcBorders>
              <w:top w:val="single" w:sz="4" w:space="0" w:color="auto"/>
              <w:left w:val="nil"/>
              <w:bottom w:val="single" w:sz="4" w:space="0" w:color="auto"/>
              <w:right w:val="nil"/>
            </w:tcBorders>
            <w:vAlign w:val="center"/>
          </w:tcPr>
          <w:p w14:paraId="789F676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Bright orange</w:t>
            </w:r>
          </w:p>
        </w:tc>
        <w:tc>
          <w:tcPr>
            <w:tcW w:w="5289" w:type="dxa"/>
            <w:tcBorders>
              <w:top w:val="single" w:sz="4" w:space="0" w:color="auto"/>
              <w:left w:val="nil"/>
              <w:bottom w:val="single" w:sz="4" w:space="0" w:color="auto"/>
              <w:right w:val="nil"/>
            </w:tcBorders>
            <w:vAlign w:val="center"/>
          </w:tcPr>
          <w:p w14:paraId="164FC214"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0.5 m thick in core, core recovery is 23.1%, bit drops occurred 20 m below the sample</w:t>
            </w:r>
          </w:p>
        </w:tc>
      </w:tr>
      <w:tr w:rsidR="00E86BE9" w:rsidRPr="00E86BE9" w14:paraId="333D98A4" w14:textId="77777777">
        <w:tc>
          <w:tcPr>
            <w:tcW w:w="735" w:type="dxa"/>
            <w:tcBorders>
              <w:top w:val="single" w:sz="4" w:space="0" w:color="auto"/>
              <w:left w:val="nil"/>
              <w:bottom w:val="single" w:sz="4" w:space="0" w:color="auto"/>
              <w:right w:val="nil"/>
            </w:tcBorders>
            <w:shd w:val="clear" w:color="auto" w:fill="FFFFFF"/>
            <w:vAlign w:val="center"/>
          </w:tcPr>
          <w:p w14:paraId="686A4EF8"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H8</w:t>
            </w:r>
          </w:p>
        </w:tc>
        <w:tc>
          <w:tcPr>
            <w:tcW w:w="791" w:type="dxa"/>
            <w:tcBorders>
              <w:top w:val="single" w:sz="4" w:space="0" w:color="auto"/>
              <w:left w:val="nil"/>
              <w:bottom w:val="single" w:sz="4" w:space="0" w:color="auto"/>
              <w:right w:val="nil"/>
            </w:tcBorders>
            <w:shd w:val="clear" w:color="auto" w:fill="FFFFFF"/>
            <w:vAlign w:val="center"/>
          </w:tcPr>
          <w:p w14:paraId="51647B0D"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Rp4</w:t>
            </w:r>
          </w:p>
        </w:tc>
        <w:tc>
          <w:tcPr>
            <w:tcW w:w="850" w:type="dxa"/>
            <w:tcBorders>
              <w:top w:val="single" w:sz="4" w:space="0" w:color="auto"/>
              <w:left w:val="nil"/>
              <w:bottom w:val="single" w:sz="4" w:space="0" w:color="auto"/>
              <w:right w:val="nil"/>
            </w:tcBorders>
            <w:shd w:val="clear" w:color="auto" w:fill="FFFFFF"/>
            <w:vAlign w:val="center"/>
          </w:tcPr>
          <w:p w14:paraId="16D17E56"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O2y</w:t>
            </w:r>
          </w:p>
        </w:tc>
        <w:tc>
          <w:tcPr>
            <w:tcW w:w="2098" w:type="dxa"/>
            <w:gridSpan w:val="2"/>
            <w:tcBorders>
              <w:top w:val="single" w:sz="4" w:space="0" w:color="auto"/>
              <w:left w:val="nil"/>
              <w:bottom w:val="single" w:sz="4" w:space="0" w:color="auto"/>
              <w:right w:val="nil"/>
            </w:tcBorders>
            <w:shd w:val="clear" w:color="auto" w:fill="FFFFFF"/>
            <w:vAlign w:val="center"/>
          </w:tcPr>
          <w:p w14:paraId="7DE8703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Barite</w:t>
            </w:r>
          </w:p>
        </w:tc>
        <w:tc>
          <w:tcPr>
            <w:tcW w:w="1935" w:type="dxa"/>
            <w:tcBorders>
              <w:top w:val="single" w:sz="4" w:space="0" w:color="auto"/>
              <w:left w:val="nil"/>
              <w:bottom w:val="single" w:sz="4" w:space="0" w:color="auto"/>
              <w:right w:val="nil"/>
            </w:tcBorders>
            <w:shd w:val="clear" w:color="auto" w:fill="FFFFFF"/>
            <w:vAlign w:val="center"/>
          </w:tcPr>
          <w:p w14:paraId="59252EE4"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Blocky, &gt;10 cm</w:t>
            </w:r>
          </w:p>
        </w:tc>
        <w:tc>
          <w:tcPr>
            <w:tcW w:w="2160" w:type="dxa"/>
            <w:tcBorders>
              <w:top w:val="single" w:sz="4" w:space="0" w:color="auto"/>
              <w:left w:val="nil"/>
              <w:bottom w:val="single" w:sz="4" w:space="0" w:color="auto"/>
              <w:right w:val="nil"/>
            </w:tcBorders>
            <w:shd w:val="clear" w:color="auto" w:fill="FFFFFF"/>
            <w:vAlign w:val="center"/>
          </w:tcPr>
          <w:p w14:paraId="0284BD12" w14:textId="77777777" w:rsidR="008E5C9D" w:rsidRPr="00E86BE9" w:rsidRDefault="00996D18">
            <w:pPr>
              <w:adjustRightInd w:val="0"/>
              <w:snapToGrid w:val="0"/>
              <w:rPr>
                <w:rFonts w:ascii="Times New Roman" w:hAnsi="Times New Roman"/>
                <w:sz w:val="18"/>
                <w:szCs w:val="18"/>
              </w:rPr>
            </w:pPr>
            <w:r w:rsidRPr="00E86BE9">
              <w:rPr>
                <w:rFonts w:ascii="Times New Roman" w:hAnsi="Times New Roman"/>
                <w:kern w:val="0"/>
                <w:sz w:val="18"/>
                <w:szCs w:val="18"/>
              </w:rPr>
              <w:t>Non-luminescent</w:t>
            </w:r>
          </w:p>
        </w:tc>
        <w:tc>
          <w:tcPr>
            <w:tcW w:w="5289" w:type="dxa"/>
            <w:tcBorders>
              <w:top w:val="single" w:sz="4" w:space="0" w:color="auto"/>
              <w:left w:val="nil"/>
              <w:bottom w:val="single" w:sz="4" w:space="0" w:color="auto"/>
              <w:right w:val="nil"/>
            </w:tcBorders>
            <w:shd w:val="clear" w:color="auto" w:fill="FFFFFF"/>
            <w:vAlign w:val="center"/>
          </w:tcPr>
          <w:p w14:paraId="3955FFA8" w14:textId="77777777" w:rsidR="008E5C9D" w:rsidRPr="00E86BE9" w:rsidRDefault="00996D18">
            <w:pPr>
              <w:adjustRightInd w:val="0"/>
              <w:snapToGrid w:val="0"/>
              <w:ind w:left="90" w:hangingChars="50" w:hanging="90"/>
              <w:rPr>
                <w:rFonts w:ascii="Times New Roman" w:hAnsi="Times New Roman"/>
                <w:sz w:val="18"/>
                <w:szCs w:val="18"/>
              </w:rPr>
            </w:pPr>
            <w:r w:rsidRPr="00E86BE9">
              <w:rPr>
                <w:rFonts w:ascii="Times New Roman" w:hAnsi="Times New Roman"/>
                <w:kern w:val="0"/>
                <w:sz w:val="18"/>
                <w:szCs w:val="18"/>
              </w:rPr>
              <w:t xml:space="preserve">Accompanying </w:t>
            </w:r>
            <w:proofErr w:type="spellStart"/>
            <w:r w:rsidRPr="00E86BE9">
              <w:rPr>
                <w:rFonts w:ascii="Times New Roman" w:hAnsi="Times New Roman"/>
                <w:kern w:val="0"/>
                <w:sz w:val="18"/>
                <w:szCs w:val="18"/>
              </w:rPr>
              <w:t>megacrystalline</w:t>
            </w:r>
            <w:proofErr w:type="spellEnd"/>
            <w:r w:rsidRPr="00E86BE9">
              <w:rPr>
                <w:rFonts w:ascii="Times New Roman" w:hAnsi="Times New Roman"/>
                <w:kern w:val="0"/>
                <w:sz w:val="18"/>
                <w:szCs w:val="18"/>
              </w:rPr>
              <w:t xml:space="preserve"> calcite, 1 m thick in core. Loss of circulation occurred 10 m below the sample</w:t>
            </w:r>
          </w:p>
        </w:tc>
      </w:tr>
    </w:tbl>
    <w:p w14:paraId="5D15966E" w14:textId="77777777" w:rsidR="008E5C9D" w:rsidRPr="00E86BE9" w:rsidRDefault="008E5C9D" w:rsidP="00CC46C1">
      <w:pPr>
        <w:autoSpaceDE w:val="0"/>
        <w:autoSpaceDN w:val="0"/>
        <w:adjustRightInd w:val="0"/>
        <w:rPr>
          <w:rFonts w:ascii="Times New Roman" w:hAnsi="Times New Roman" w:cs="Times New Roman"/>
          <w:kern w:val="0"/>
          <w:szCs w:val="21"/>
        </w:rPr>
        <w:sectPr w:rsidR="008E5C9D" w:rsidRPr="00E86BE9">
          <w:pgSz w:w="16838" w:h="11906" w:orient="landscape"/>
          <w:pgMar w:top="1803" w:right="1440" w:bottom="1803" w:left="1440" w:header="851" w:footer="992" w:gutter="0"/>
          <w:cols w:space="0"/>
          <w:docGrid w:type="lines" w:linePitch="319"/>
        </w:sectPr>
      </w:pPr>
    </w:p>
    <w:p w14:paraId="5278B27D" w14:textId="77777777" w:rsidR="008506EB" w:rsidRPr="008506EB" w:rsidRDefault="00C04A96" w:rsidP="008506EB">
      <w:pPr>
        <w:pStyle w:val="ab"/>
        <w:numPr>
          <w:ilvl w:val="0"/>
          <w:numId w:val="1"/>
        </w:numPr>
        <w:autoSpaceDE w:val="0"/>
        <w:autoSpaceDN w:val="0"/>
        <w:adjustRightInd w:val="0"/>
        <w:ind w:firstLineChars="0"/>
        <w:jc w:val="center"/>
        <w:rPr>
          <w:rFonts w:ascii="Times New Roman" w:hAnsi="Times New Roman" w:cs="Times New Roman"/>
          <w:b/>
          <w:bCs/>
          <w:kern w:val="0"/>
          <w:szCs w:val="21"/>
        </w:rPr>
      </w:pPr>
      <w:r w:rsidRPr="008506EB">
        <w:rPr>
          <w:rFonts w:ascii="Times New Roman" w:hAnsi="Times New Roman" w:cs="Times New Roman" w:hint="eastAsia"/>
          <w:b/>
          <w:bCs/>
          <w:kern w:val="0"/>
          <w:szCs w:val="21"/>
        </w:rPr>
        <w:lastRenderedPageBreak/>
        <w:t>Figure 2</w:t>
      </w:r>
    </w:p>
    <w:p w14:paraId="0AFCE67D" w14:textId="77777777" w:rsidR="00C04A96" w:rsidRPr="008506EB" w:rsidRDefault="00C04A96" w:rsidP="008506EB">
      <w:pPr>
        <w:pStyle w:val="ab"/>
        <w:autoSpaceDE w:val="0"/>
        <w:autoSpaceDN w:val="0"/>
        <w:adjustRightInd w:val="0"/>
        <w:ind w:left="420" w:firstLineChars="0" w:firstLine="0"/>
        <w:jc w:val="center"/>
        <w:rPr>
          <w:rFonts w:ascii="Times New Roman" w:hAnsi="Times New Roman" w:cs="Times New Roman"/>
          <w:i/>
          <w:iCs/>
          <w:kern w:val="0"/>
          <w:szCs w:val="21"/>
        </w:rPr>
      </w:pPr>
      <w:r w:rsidRPr="008506EB">
        <w:rPr>
          <w:rFonts w:ascii="Times New Roman" w:hAnsi="Times New Roman" w:cs="Times New Roman"/>
          <w:i/>
          <w:iCs/>
          <w:kern w:val="0"/>
          <w:szCs w:val="21"/>
        </w:rPr>
        <w:t xml:space="preserve">Core, thin-section, and CL microphotographs of </w:t>
      </w:r>
      <w:proofErr w:type="spellStart"/>
      <w:r w:rsidRPr="008506EB">
        <w:rPr>
          <w:rFonts w:ascii="Times New Roman" w:hAnsi="Times New Roman" w:cs="Times New Roman"/>
          <w:i/>
          <w:iCs/>
          <w:kern w:val="0"/>
          <w:szCs w:val="21"/>
        </w:rPr>
        <w:t>vug</w:t>
      </w:r>
      <w:proofErr w:type="spellEnd"/>
      <w:r w:rsidRPr="008506EB">
        <w:rPr>
          <w:rFonts w:ascii="Times New Roman" w:hAnsi="Times New Roman" w:cs="Times New Roman"/>
          <w:i/>
          <w:iCs/>
          <w:kern w:val="0"/>
          <w:szCs w:val="21"/>
        </w:rPr>
        <w:t xml:space="preserve">-filling calcites. (a) core photo image showing </w:t>
      </w:r>
      <w:proofErr w:type="spellStart"/>
      <w:r w:rsidRPr="008506EB">
        <w:rPr>
          <w:rFonts w:ascii="Times New Roman" w:hAnsi="Times New Roman" w:cs="Times New Roman"/>
          <w:i/>
          <w:iCs/>
          <w:kern w:val="0"/>
          <w:szCs w:val="21"/>
        </w:rPr>
        <w:t>vugs</w:t>
      </w:r>
      <w:proofErr w:type="spellEnd"/>
      <w:r w:rsidRPr="008506EB">
        <w:rPr>
          <w:rFonts w:ascii="Times New Roman" w:hAnsi="Times New Roman" w:cs="Times New Roman"/>
          <w:i/>
          <w:iCs/>
          <w:kern w:val="0"/>
          <w:szCs w:val="21"/>
        </w:rPr>
        <w:t xml:space="preserve"> filled with calcite, appearing as dark patches within irregular geometries (single channels or amalgamations of channels), black color indicates oil-stained; (b) thin-section image showing </w:t>
      </w:r>
      <w:proofErr w:type="spellStart"/>
      <w:r w:rsidRPr="008506EB">
        <w:rPr>
          <w:rFonts w:ascii="Times New Roman" w:hAnsi="Times New Roman" w:cs="Times New Roman"/>
          <w:i/>
          <w:iCs/>
          <w:kern w:val="0"/>
          <w:szCs w:val="21"/>
        </w:rPr>
        <w:t>vug</w:t>
      </w:r>
      <w:proofErr w:type="spellEnd"/>
      <w:r w:rsidRPr="008506EB">
        <w:rPr>
          <w:rFonts w:ascii="Times New Roman" w:hAnsi="Times New Roman" w:cs="Times New Roman"/>
          <w:i/>
          <w:iCs/>
          <w:kern w:val="0"/>
          <w:szCs w:val="21"/>
        </w:rPr>
        <w:t xml:space="preserve"> filled with calcite (C), host rock (H) has </w:t>
      </w:r>
      <w:proofErr w:type="spellStart"/>
      <w:r w:rsidRPr="008506EB">
        <w:rPr>
          <w:rFonts w:ascii="Times New Roman" w:hAnsi="Times New Roman" w:cs="Times New Roman"/>
          <w:i/>
          <w:iCs/>
          <w:kern w:val="0"/>
          <w:szCs w:val="21"/>
        </w:rPr>
        <w:t>packstone</w:t>
      </w:r>
      <w:proofErr w:type="spellEnd"/>
      <w:r w:rsidRPr="008506EB">
        <w:rPr>
          <w:rFonts w:ascii="Times New Roman" w:hAnsi="Times New Roman" w:cs="Times New Roman"/>
          <w:i/>
          <w:iCs/>
          <w:kern w:val="0"/>
          <w:szCs w:val="21"/>
        </w:rPr>
        <w:t xml:space="preserve"> fabric; (c) CL image of (b) showing that calcite (C) in </w:t>
      </w:r>
      <w:proofErr w:type="spellStart"/>
      <w:r w:rsidRPr="008506EB">
        <w:rPr>
          <w:rFonts w:ascii="Times New Roman" w:hAnsi="Times New Roman" w:cs="Times New Roman"/>
          <w:i/>
          <w:iCs/>
          <w:kern w:val="0"/>
          <w:szCs w:val="21"/>
        </w:rPr>
        <w:t>vug</w:t>
      </w:r>
      <w:proofErr w:type="spellEnd"/>
      <w:r w:rsidRPr="008506EB">
        <w:rPr>
          <w:rFonts w:ascii="Times New Roman" w:hAnsi="Times New Roman" w:cs="Times New Roman"/>
          <w:i/>
          <w:iCs/>
          <w:kern w:val="0"/>
          <w:szCs w:val="21"/>
        </w:rPr>
        <w:t xml:space="preserve"> has dull luminescent with bright rims</w:t>
      </w:r>
      <w:r w:rsidRPr="008506EB">
        <w:rPr>
          <w:rFonts w:ascii="Times New Roman" w:hAnsi="Times New Roman" w:cs="Times New Roman" w:hint="eastAsia"/>
          <w:i/>
          <w:iCs/>
          <w:kern w:val="0"/>
          <w:szCs w:val="21"/>
        </w:rPr>
        <w:t>, note that the yellow line showing the sampling position of U-Pb dating</w:t>
      </w:r>
      <w:r w:rsidRPr="008506EB">
        <w:rPr>
          <w:rFonts w:ascii="Times New Roman" w:hAnsi="Times New Roman" w:cs="Times New Roman"/>
          <w:i/>
          <w:iCs/>
          <w:kern w:val="0"/>
          <w:szCs w:val="21"/>
        </w:rPr>
        <w:t>.</w:t>
      </w:r>
    </w:p>
    <w:p w14:paraId="2038E569" w14:textId="56DAD744" w:rsidR="00CC46C1" w:rsidRPr="00E86BE9" w:rsidRDefault="00CC46C1" w:rsidP="00CC46C1">
      <w:pPr>
        <w:widowControl/>
        <w:autoSpaceDE w:val="0"/>
        <w:autoSpaceDN w:val="0"/>
        <w:adjustRightInd w:val="0"/>
        <w:rPr>
          <w:rFonts w:ascii="Times New Roman" w:hAnsi="Times New Roman" w:cs="Times New Roman"/>
          <w:b/>
          <w:bCs/>
          <w:kern w:val="0"/>
          <w:szCs w:val="21"/>
          <w:lang w:bidi="he-IL"/>
        </w:rPr>
      </w:pPr>
      <w:r w:rsidRPr="00E86BE9">
        <w:rPr>
          <w:rFonts w:ascii="Times New Roman" w:hAnsi="Times New Roman" w:cs="Times New Roman"/>
          <w:b/>
          <w:bCs/>
          <w:noProof/>
          <w:kern w:val="0"/>
          <w:szCs w:val="21"/>
        </w:rPr>
        <w:drawing>
          <wp:inline distT="0" distB="0" distL="0" distR="0" wp14:anchorId="476EE8B7" wp14:editId="04E28BA0">
            <wp:extent cx="5270500" cy="1387120"/>
            <wp:effectExtent l="0" t="0" r="6350" b="3810"/>
            <wp:docPr id="1" name="图片 1" descr="H:\4 personal results\2 my papers\1 撰写论文\Tarim Basin\哈拉哈塘\AAPG投稿\AAPG 2改稿\figure &amp; table\提交版\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 personal results\2 my papers\1 撰写论文\Tarim Basin\哈拉哈塘\AAPG投稿\AAPG 2改稿\figure &amp; table\提交版\figure 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387120"/>
                    </a:xfrm>
                    <a:prstGeom prst="rect">
                      <a:avLst/>
                    </a:prstGeom>
                    <a:noFill/>
                    <a:ln>
                      <a:noFill/>
                    </a:ln>
                  </pic:spPr>
                </pic:pic>
              </a:graphicData>
            </a:graphic>
          </wp:inline>
        </w:drawing>
      </w:r>
    </w:p>
    <w:p w14:paraId="3B1153D2" w14:textId="77777777" w:rsidR="00C04A96" w:rsidRDefault="00C04A96" w:rsidP="00C04A96">
      <w:pPr>
        <w:autoSpaceDE w:val="0"/>
        <w:autoSpaceDN w:val="0"/>
        <w:adjustRightInd w:val="0"/>
        <w:jc w:val="center"/>
        <w:rPr>
          <w:rFonts w:ascii="Times New Roman" w:hAnsi="Times New Roman" w:cs="Times New Roman"/>
          <w:i/>
          <w:iCs/>
          <w:kern w:val="0"/>
          <w:szCs w:val="21"/>
        </w:rPr>
      </w:pPr>
    </w:p>
    <w:p w14:paraId="38A1426F" w14:textId="004A0330" w:rsidR="008506EB" w:rsidRPr="008506EB" w:rsidRDefault="00C04A96" w:rsidP="008506EB">
      <w:pPr>
        <w:pStyle w:val="ab"/>
        <w:numPr>
          <w:ilvl w:val="0"/>
          <w:numId w:val="1"/>
        </w:numPr>
        <w:autoSpaceDE w:val="0"/>
        <w:autoSpaceDN w:val="0"/>
        <w:adjustRightInd w:val="0"/>
        <w:ind w:firstLineChars="0"/>
        <w:jc w:val="center"/>
        <w:rPr>
          <w:rFonts w:ascii="Times New Roman" w:hAnsi="Times New Roman" w:cs="Times New Roman"/>
          <w:b/>
          <w:bCs/>
          <w:kern w:val="0"/>
          <w:szCs w:val="21"/>
        </w:rPr>
      </w:pPr>
      <w:r w:rsidRPr="008506EB">
        <w:rPr>
          <w:rFonts w:ascii="Times New Roman" w:hAnsi="Times New Roman" w:cs="Times New Roman" w:hint="eastAsia"/>
          <w:b/>
          <w:bCs/>
          <w:kern w:val="0"/>
          <w:szCs w:val="21"/>
        </w:rPr>
        <w:t>Figure 3</w:t>
      </w:r>
    </w:p>
    <w:p w14:paraId="110CF97A" w14:textId="1EF1ADB2" w:rsidR="00C04A96" w:rsidRPr="00C04A96" w:rsidRDefault="00C04A96" w:rsidP="00C04A96">
      <w:pPr>
        <w:autoSpaceDE w:val="0"/>
        <w:autoSpaceDN w:val="0"/>
        <w:adjustRightInd w:val="0"/>
        <w:jc w:val="center"/>
        <w:rPr>
          <w:rFonts w:ascii="Times New Roman" w:hAnsi="Times New Roman" w:cs="Times New Roman"/>
          <w:i/>
          <w:iCs/>
          <w:kern w:val="0"/>
          <w:szCs w:val="21"/>
        </w:rPr>
      </w:pPr>
      <w:r w:rsidRPr="00C04A96">
        <w:rPr>
          <w:rFonts w:ascii="Times New Roman" w:hAnsi="Times New Roman" w:cs="Times New Roman"/>
          <w:i/>
          <w:iCs/>
          <w:kern w:val="0"/>
          <w:szCs w:val="21"/>
        </w:rPr>
        <w:t xml:space="preserve">SFC-1 calcite partially filled in structure fracture which are observed in core (a) and thin-section (b), showing dull to bright luminescent (c). SFC-2 calcites filling with structure fracture observed in core (d) and thin-section (e), are non-luminescent (f) and oil stained. SFC-3 calcite </w:t>
      </w:r>
      <w:proofErr w:type="gramStart"/>
      <w:r w:rsidRPr="00C04A96">
        <w:rPr>
          <w:rFonts w:ascii="Times New Roman" w:hAnsi="Times New Roman" w:cs="Times New Roman"/>
          <w:i/>
          <w:iCs/>
          <w:kern w:val="0"/>
          <w:szCs w:val="21"/>
        </w:rPr>
        <w:t>are</w:t>
      </w:r>
      <w:proofErr w:type="gramEnd"/>
      <w:r w:rsidRPr="00C04A96">
        <w:rPr>
          <w:rFonts w:ascii="Times New Roman" w:hAnsi="Times New Roman" w:cs="Times New Roman"/>
          <w:i/>
          <w:iCs/>
          <w:kern w:val="0"/>
          <w:szCs w:val="21"/>
        </w:rPr>
        <w:t xml:space="preserve"> observed in core (g) and thin-section (h) as well, which showing dull to brown luminescent CL color (</w:t>
      </w:r>
      <w:proofErr w:type="spellStart"/>
      <w:r w:rsidRPr="00C04A96">
        <w:rPr>
          <w:rFonts w:ascii="Times New Roman" w:hAnsi="Times New Roman" w:cs="Times New Roman"/>
          <w:i/>
          <w:iCs/>
          <w:kern w:val="0"/>
          <w:szCs w:val="21"/>
        </w:rPr>
        <w:t>i</w:t>
      </w:r>
      <w:proofErr w:type="spellEnd"/>
      <w:r w:rsidRPr="00C04A96">
        <w:rPr>
          <w:rFonts w:ascii="Times New Roman" w:hAnsi="Times New Roman" w:cs="Times New Roman"/>
          <w:i/>
          <w:iCs/>
          <w:kern w:val="0"/>
          <w:szCs w:val="21"/>
        </w:rPr>
        <w:t>).</w:t>
      </w:r>
      <w:r w:rsidRPr="00C04A96">
        <w:rPr>
          <w:rFonts w:ascii="Times New Roman" w:hAnsi="Times New Roman" w:cs="Times New Roman" w:hint="eastAsia"/>
          <w:i/>
          <w:iCs/>
          <w:kern w:val="0"/>
          <w:szCs w:val="21"/>
        </w:rPr>
        <w:t xml:space="preserve"> </w:t>
      </w:r>
      <w:r w:rsidRPr="00C04A96">
        <w:rPr>
          <w:rFonts w:ascii="Times New Roman" w:hAnsi="Times New Roman" w:cs="Times New Roman"/>
          <w:i/>
          <w:iCs/>
          <w:kern w:val="0"/>
          <w:szCs w:val="21"/>
        </w:rPr>
        <w:t>Y</w:t>
      </w:r>
      <w:r w:rsidRPr="00C04A96">
        <w:rPr>
          <w:rFonts w:ascii="Times New Roman" w:hAnsi="Times New Roman" w:cs="Times New Roman" w:hint="eastAsia"/>
          <w:i/>
          <w:iCs/>
          <w:kern w:val="0"/>
          <w:szCs w:val="21"/>
        </w:rPr>
        <w:t xml:space="preserve">ellow lines </w:t>
      </w:r>
      <w:r w:rsidRPr="00C04A96">
        <w:rPr>
          <w:rFonts w:ascii="Times New Roman" w:hAnsi="Times New Roman" w:cs="Times New Roman"/>
          <w:i/>
          <w:iCs/>
          <w:kern w:val="0"/>
          <w:szCs w:val="21"/>
        </w:rPr>
        <w:t xml:space="preserve">in c, f, and </w:t>
      </w:r>
      <w:proofErr w:type="spellStart"/>
      <w:r w:rsidRPr="00C04A96">
        <w:rPr>
          <w:rFonts w:ascii="Times New Roman" w:hAnsi="Times New Roman" w:cs="Times New Roman"/>
          <w:i/>
          <w:iCs/>
          <w:kern w:val="0"/>
          <w:szCs w:val="21"/>
        </w:rPr>
        <w:t>i</w:t>
      </w:r>
      <w:proofErr w:type="spellEnd"/>
      <w:r w:rsidRPr="00C04A96">
        <w:rPr>
          <w:rFonts w:ascii="Times New Roman" w:hAnsi="Times New Roman" w:cs="Times New Roman"/>
          <w:i/>
          <w:iCs/>
          <w:kern w:val="0"/>
          <w:szCs w:val="21"/>
        </w:rPr>
        <w:t xml:space="preserve"> </w:t>
      </w:r>
      <w:r w:rsidRPr="00C04A96">
        <w:rPr>
          <w:rFonts w:ascii="Times New Roman" w:hAnsi="Times New Roman" w:cs="Times New Roman" w:hint="eastAsia"/>
          <w:i/>
          <w:iCs/>
          <w:kern w:val="0"/>
          <w:szCs w:val="21"/>
        </w:rPr>
        <w:t>show the position of U-Pb dating</w:t>
      </w:r>
      <w:r w:rsidRPr="00C04A96">
        <w:rPr>
          <w:rFonts w:ascii="Times New Roman" w:hAnsi="Times New Roman" w:cs="Times New Roman"/>
          <w:i/>
          <w:iCs/>
          <w:kern w:val="0"/>
          <w:szCs w:val="21"/>
        </w:rPr>
        <w:t xml:space="preserve"> experiment.</w:t>
      </w:r>
    </w:p>
    <w:p w14:paraId="11C62642" w14:textId="77777777" w:rsidR="00CC46C1" w:rsidRPr="00E86BE9" w:rsidRDefault="00CC46C1" w:rsidP="00CC46C1">
      <w:pPr>
        <w:widowControl/>
        <w:autoSpaceDE w:val="0"/>
        <w:autoSpaceDN w:val="0"/>
        <w:adjustRightInd w:val="0"/>
        <w:rPr>
          <w:rFonts w:ascii="Times New Roman" w:hAnsi="Times New Roman" w:cs="Times New Roman"/>
          <w:b/>
          <w:bCs/>
          <w:kern w:val="0"/>
          <w:szCs w:val="21"/>
          <w:lang w:bidi="he-IL"/>
        </w:rPr>
      </w:pPr>
      <w:r w:rsidRPr="00E86BE9">
        <w:rPr>
          <w:rFonts w:ascii="Times New Roman" w:hAnsi="Times New Roman" w:cs="Times New Roman"/>
          <w:b/>
          <w:bCs/>
          <w:noProof/>
          <w:kern w:val="0"/>
          <w:szCs w:val="21"/>
        </w:rPr>
        <w:drawing>
          <wp:inline distT="0" distB="0" distL="0" distR="0" wp14:anchorId="0213361F" wp14:editId="360FF132">
            <wp:extent cx="5270500" cy="4374169"/>
            <wp:effectExtent l="0" t="0" r="6350" b="7620"/>
            <wp:docPr id="2" name="图片 2" descr="H:\4 personal results\2 my papers\1 撰写论文\Tarim Basin\哈拉哈塘\AAPG投稿\AAPG 2改稿\figure &amp; table\提交版\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4 personal results\2 my papers\1 撰写论文\Tarim Basin\哈拉哈塘\AAPG投稿\AAPG 2改稿\figure &amp; table\提交版\figure 6.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374169"/>
                    </a:xfrm>
                    <a:prstGeom prst="rect">
                      <a:avLst/>
                    </a:prstGeom>
                    <a:noFill/>
                    <a:ln>
                      <a:noFill/>
                    </a:ln>
                  </pic:spPr>
                </pic:pic>
              </a:graphicData>
            </a:graphic>
          </wp:inline>
        </w:drawing>
      </w:r>
    </w:p>
    <w:p w14:paraId="43D40566" w14:textId="183DD848" w:rsidR="008506EB" w:rsidRPr="008506EB" w:rsidRDefault="00C04A96" w:rsidP="008506EB">
      <w:pPr>
        <w:pStyle w:val="ab"/>
        <w:numPr>
          <w:ilvl w:val="0"/>
          <w:numId w:val="1"/>
        </w:numPr>
        <w:autoSpaceDE w:val="0"/>
        <w:autoSpaceDN w:val="0"/>
        <w:adjustRightInd w:val="0"/>
        <w:ind w:firstLineChars="0"/>
        <w:jc w:val="center"/>
        <w:rPr>
          <w:rFonts w:ascii="Times New Roman" w:hAnsi="Times New Roman" w:cs="Times New Roman"/>
          <w:b/>
          <w:bCs/>
          <w:kern w:val="0"/>
          <w:szCs w:val="21"/>
        </w:rPr>
      </w:pPr>
      <w:r w:rsidRPr="008506EB">
        <w:rPr>
          <w:rFonts w:ascii="Times New Roman" w:hAnsi="Times New Roman" w:cs="Times New Roman" w:hint="eastAsia"/>
          <w:b/>
          <w:bCs/>
          <w:kern w:val="0"/>
          <w:szCs w:val="21"/>
        </w:rPr>
        <w:lastRenderedPageBreak/>
        <w:t>Figure 4.</w:t>
      </w:r>
    </w:p>
    <w:p w14:paraId="0D63C951" w14:textId="7C437B09" w:rsidR="00C04A96" w:rsidRPr="008506EB" w:rsidRDefault="00C04A96" w:rsidP="008506EB">
      <w:pPr>
        <w:autoSpaceDE w:val="0"/>
        <w:autoSpaceDN w:val="0"/>
        <w:adjustRightInd w:val="0"/>
        <w:jc w:val="center"/>
        <w:rPr>
          <w:rFonts w:ascii="Times New Roman" w:hAnsi="Times New Roman" w:cs="Times New Roman"/>
          <w:i/>
          <w:iCs/>
          <w:kern w:val="0"/>
          <w:szCs w:val="21"/>
        </w:rPr>
      </w:pPr>
      <w:proofErr w:type="spellStart"/>
      <w:r w:rsidRPr="008506EB">
        <w:rPr>
          <w:rFonts w:ascii="Times New Roman" w:hAnsi="Times New Roman" w:cs="Times New Roman"/>
          <w:i/>
          <w:iCs/>
          <w:kern w:val="0"/>
          <w:szCs w:val="21"/>
        </w:rPr>
        <w:t>Megacrystalline</w:t>
      </w:r>
      <w:proofErr w:type="spellEnd"/>
      <w:r w:rsidRPr="008506EB">
        <w:rPr>
          <w:rFonts w:ascii="Times New Roman" w:hAnsi="Times New Roman" w:cs="Times New Roman"/>
          <w:i/>
          <w:iCs/>
          <w:kern w:val="0"/>
          <w:szCs w:val="21"/>
        </w:rPr>
        <w:t xml:space="preserve"> calcites (MC)</w:t>
      </w:r>
      <w:r w:rsidRPr="008506EB">
        <w:rPr>
          <w:rFonts w:ascii="Times New Roman" w:hAnsi="Times New Roman" w:cs="Times New Roman"/>
          <w:i/>
          <w:iCs/>
          <w:kern w:val="0"/>
          <w:szCs w:val="21"/>
        </w:rPr>
        <w:t xml:space="preserve"> </w:t>
      </w:r>
      <w:r w:rsidRPr="008506EB">
        <w:rPr>
          <w:rFonts w:ascii="Times New Roman" w:hAnsi="Times New Roman" w:cs="Times New Roman"/>
          <w:i/>
          <w:iCs/>
          <w:kern w:val="0"/>
          <w:szCs w:val="21"/>
        </w:rPr>
        <w:t>which observed in core (a) and thin-section (b) showing two generation with dull to orange zoned luminescent</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and orange luminescent</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c</w:t>
      </w:r>
      <w:r w:rsidRPr="008506EB">
        <w:rPr>
          <w:rFonts w:ascii="Times New Roman" w:hAnsi="Times New Roman" w:cs="Times New Roman" w:hint="eastAsia"/>
          <w:i/>
          <w:iCs/>
          <w:kern w:val="0"/>
          <w:szCs w:val="21"/>
        </w:rPr>
        <w:t>)</w:t>
      </w:r>
      <w:r w:rsidRPr="008506EB">
        <w:rPr>
          <w:rFonts w:ascii="Times New Roman" w:hAnsi="Times New Roman" w:cs="Times New Roman"/>
          <w:i/>
          <w:iCs/>
          <w:kern w:val="0"/>
          <w:szCs w:val="21"/>
        </w:rPr>
        <w:t xml:space="preserve"> at well </w:t>
      </w:r>
      <w:r w:rsidRPr="008506EB">
        <w:rPr>
          <w:rFonts w:ascii="Times New Roman" w:hAnsi="Times New Roman" w:cs="Times New Roman" w:hint="eastAsia"/>
          <w:i/>
          <w:iCs/>
          <w:kern w:val="0"/>
          <w:szCs w:val="21"/>
        </w:rPr>
        <w:t>H1</w:t>
      </w:r>
      <w:r w:rsidRPr="008506EB">
        <w:rPr>
          <w:rFonts w:ascii="Times New Roman" w:hAnsi="Times New Roman" w:cs="Times New Roman"/>
          <w:i/>
          <w:iCs/>
          <w:kern w:val="0"/>
          <w:szCs w:val="21"/>
        </w:rPr>
        <w:t>; MC calcites which observed in core (d) and thin-section (e) either showing dull luminescent</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or orange luminescent</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 xml:space="preserve">under CL (f) at well </w:t>
      </w:r>
      <w:r w:rsidRPr="008506EB">
        <w:rPr>
          <w:rFonts w:ascii="Times New Roman" w:hAnsi="Times New Roman" w:cs="Times New Roman" w:hint="eastAsia"/>
          <w:i/>
          <w:iCs/>
          <w:kern w:val="0"/>
          <w:szCs w:val="21"/>
        </w:rPr>
        <w:t>H7-2</w:t>
      </w:r>
      <w:r w:rsidRPr="008506EB">
        <w:rPr>
          <w:rFonts w:ascii="Times New Roman" w:hAnsi="Times New Roman" w:cs="Times New Roman"/>
          <w:i/>
          <w:iCs/>
          <w:kern w:val="0"/>
          <w:szCs w:val="21"/>
        </w:rPr>
        <w:t>; (g-</w:t>
      </w:r>
      <w:proofErr w:type="spellStart"/>
      <w:r w:rsidRPr="008506EB">
        <w:rPr>
          <w:rFonts w:ascii="Times New Roman" w:hAnsi="Times New Roman" w:cs="Times New Roman"/>
          <w:i/>
          <w:iCs/>
          <w:kern w:val="0"/>
          <w:szCs w:val="21"/>
        </w:rPr>
        <w:t>i</w:t>
      </w:r>
      <w:proofErr w:type="spellEnd"/>
      <w:r w:rsidRPr="008506EB">
        <w:rPr>
          <w:rFonts w:ascii="Times New Roman" w:hAnsi="Times New Roman" w:cs="Times New Roman"/>
          <w:i/>
          <w:iCs/>
          <w:kern w:val="0"/>
          <w:szCs w:val="21"/>
        </w:rPr>
        <w:t>) MC calcites which observed in core (g) and thin-section (h) displaying homogeneously bright orange luminescent (</w:t>
      </w:r>
      <w:proofErr w:type="spellStart"/>
      <w:r w:rsidRPr="008506EB">
        <w:rPr>
          <w:rFonts w:ascii="Times New Roman" w:hAnsi="Times New Roman" w:cs="Times New Roman"/>
          <w:i/>
          <w:iCs/>
          <w:kern w:val="0"/>
          <w:szCs w:val="21"/>
        </w:rPr>
        <w:t>i</w:t>
      </w:r>
      <w:proofErr w:type="spellEnd"/>
      <w:r w:rsidRPr="008506EB">
        <w:rPr>
          <w:rFonts w:ascii="Times New Roman" w:hAnsi="Times New Roman" w:cs="Times New Roman"/>
          <w:i/>
          <w:iCs/>
          <w:kern w:val="0"/>
          <w:szCs w:val="21"/>
        </w:rPr>
        <w:t>); Barite intergrowth with MC calcite were locally observed in core (j) and thin-section (k), which is non-luminescent</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 xml:space="preserve">under CL. </w:t>
      </w:r>
      <w:r w:rsidRPr="008506EB">
        <w:rPr>
          <w:rFonts w:ascii="Times New Roman" w:hAnsi="Times New Roman" w:cs="Times New Roman" w:hint="eastAsia"/>
          <w:i/>
          <w:iCs/>
          <w:kern w:val="0"/>
          <w:szCs w:val="21"/>
        </w:rPr>
        <w:t>Note that the yellow lines show</w:t>
      </w:r>
      <w:r w:rsidRPr="008506EB">
        <w:rPr>
          <w:rFonts w:ascii="Times New Roman" w:hAnsi="Times New Roman" w:cs="Times New Roman"/>
          <w:i/>
          <w:iCs/>
          <w:kern w:val="0"/>
          <w:szCs w:val="21"/>
        </w:rPr>
        <w:t>s</w:t>
      </w:r>
      <w:r w:rsidRPr="008506EB">
        <w:rPr>
          <w:rFonts w:ascii="Times New Roman" w:hAnsi="Times New Roman" w:cs="Times New Roman" w:hint="eastAsia"/>
          <w:i/>
          <w:iCs/>
          <w:kern w:val="0"/>
          <w:szCs w:val="21"/>
        </w:rPr>
        <w:t xml:space="preserve"> the position</w:t>
      </w:r>
      <w:r w:rsidRPr="008506EB">
        <w:rPr>
          <w:rFonts w:ascii="Times New Roman" w:hAnsi="Times New Roman" w:cs="Times New Roman"/>
          <w:i/>
          <w:iCs/>
          <w:kern w:val="0"/>
          <w:szCs w:val="21"/>
        </w:rPr>
        <w:t>s</w:t>
      </w:r>
      <w:r w:rsidRPr="008506EB">
        <w:rPr>
          <w:rFonts w:ascii="Times New Roman" w:hAnsi="Times New Roman" w:cs="Times New Roman" w:hint="eastAsia"/>
          <w:i/>
          <w:iCs/>
          <w:kern w:val="0"/>
          <w:szCs w:val="21"/>
        </w:rPr>
        <w:t xml:space="preserve"> </w:t>
      </w:r>
      <w:r w:rsidRPr="008506EB">
        <w:rPr>
          <w:rFonts w:ascii="Times New Roman" w:hAnsi="Times New Roman" w:cs="Times New Roman"/>
          <w:i/>
          <w:iCs/>
          <w:kern w:val="0"/>
          <w:szCs w:val="21"/>
        </w:rPr>
        <w:t>for</w:t>
      </w:r>
      <w:r w:rsidRPr="008506EB">
        <w:rPr>
          <w:rFonts w:ascii="Times New Roman" w:hAnsi="Times New Roman" w:cs="Times New Roman" w:hint="eastAsia"/>
          <w:i/>
          <w:iCs/>
          <w:kern w:val="0"/>
          <w:szCs w:val="21"/>
        </w:rPr>
        <w:t xml:space="preserve"> U-Pb dating</w:t>
      </w:r>
      <w:r w:rsidRPr="008506EB">
        <w:rPr>
          <w:rFonts w:ascii="Times New Roman" w:hAnsi="Times New Roman" w:cs="Times New Roman"/>
          <w:i/>
          <w:iCs/>
          <w:kern w:val="0"/>
          <w:szCs w:val="21"/>
        </w:rPr>
        <w:t xml:space="preserve"> experiment.</w:t>
      </w:r>
    </w:p>
    <w:p w14:paraId="65B800CD" w14:textId="152E6BA6" w:rsidR="00CC46C1" w:rsidRPr="00E86BE9" w:rsidRDefault="00CC46C1" w:rsidP="00CC46C1">
      <w:pPr>
        <w:widowControl/>
        <w:autoSpaceDE w:val="0"/>
        <w:autoSpaceDN w:val="0"/>
        <w:adjustRightInd w:val="0"/>
        <w:rPr>
          <w:rFonts w:ascii="Times New Roman" w:hAnsi="Times New Roman" w:cs="Times New Roman"/>
          <w:b/>
          <w:bCs/>
          <w:kern w:val="0"/>
          <w:szCs w:val="21"/>
          <w:lang w:bidi="he-IL"/>
        </w:rPr>
      </w:pPr>
      <w:r w:rsidRPr="00E86BE9">
        <w:rPr>
          <w:rFonts w:ascii="Times New Roman" w:hAnsi="Times New Roman" w:cs="Times New Roman"/>
          <w:b/>
          <w:bCs/>
          <w:noProof/>
          <w:kern w:val="0"/>
          <w:szCs w:val="21"/>
        </w:rPr>
        <w:drawing>
          <wp:inline distT="0" distB="0" distL="0" distR="0" wp14:anchorId="1CA4CBE8" wp14:editId="792F4B5C">
            <wp:extent cx="5270500" cy="5903463"/>
            <wp:effectExtent l="0" t="0" r="6350" b="2540"/>
            <wp:docPr id="3" name="图片 3" descr="H:\4 personal results\2 my papers\1 撰写论文\Tarim Basin\哈拉哈塘\AAPG投稿\AAPG 2改稿\figure &amp; table\提交版\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4 personal results\2 my papers\1 撰写论文\Tarim Basin\哈拉哈塘\AAPG投稿\AAPG 2改稿\figure &amp; table\提交版\figure 7.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903463"/>
                    </a:xfrm>
                    <a:prstGeom prst="rect">
                      <a:avLst/>
                    </a:prstGeom>
                    <a:noFill/>
                    <a:ln>
                      <a:noFill/>
                    </a:ln>
                  </pic:spPr>
                </pic:pic>
              </a:graphicData>
            </a:graphic>
          </wp:inline>
        </w:drawing>
      </w:r>
    </w:p>
    <w:p w14:paraId="2ADC6D06" w14:textId="77777777" w:rsidR="00CC46C1" w:rsidRPr="00E86BE9" w:rsidRDefault="00CC46C1" w:rsidP="00CC46C1">
      <w:pPr>
        <w:autoSpaceDE w:val="0"/>
        <w:autoSpaceDN w:val="0"/>
        <w:adjustRightInd w:val="0"/>
        <w:spacing w:line="480" w:lineRule="auto"/>
        <w:rPr>
          <w:rFonts w:ascii="Times New Roman" w:hAnsi="Times New Roman"/>
          <w:sz w:val="18"/>
          <w:szCs w:val="18"/>
        </w:rPr>
      </w:pPr>
    </w:p>
    <w:p w14:paraId="654F4CBB" w14:textId="3E726A81" w:rsidR="008E5C9D" w:rsidRPr="008506EB" w:rsidRDefault="00996D18" w:rsidP="008506EB">
      <w:pPr>
        <w:pStyle w:val="ab"/>
        <w:widowControl/>
        <w:numPr>
          <w:ilvl w:val="0"/>
          <w:numId w:val="1"/>
        </w:numPr>
        <w:autoSpaceDE w:val="0"/>
        <w:autoSpaceDN w:val="0"/>
        <w:adjustRightInd w:val="0"/>
        <w:ind w:firstLineChars="0"/>
        <w:jc w:val="center"/>
        <w:rPr>
          <w:rFonts w:ascii="Times New Roman" w:hAnsi="Times New Roman" w:cs="Times New Roman"/>
          <w:b/>
          <w:bCs/>
          <w:kern w:val="0"/>
          <w:szCs w:val="21"/>
          <w:lang w:bidi="he-IL"/>
        </w:rPr>
      </w:pPr>
      <w:r w:rsidRPr="008506EB">
        <w:rPr>
          <w:rFonts w:ascii="Times New Roman" w:hAnsi="Times New Roman" w:cs="Times New Roman" w:hint="eastAsia"/>
          <w:b/>
          <w:bCs/>
          <w:kern w:val="0"/>
          <w:szCs w:val="21"/>
          <w:lang w:bidi="he-IL"/>
        </w:rPr>
        <w:t>S</w:t>
      </w:r>
      <w:r w:rsidRPr="008506EB">
        <w:rPr>
          <w:rFonts w:ascii="Times New Roman" w:hAnsi="Times New Roman" w:cs="Times New Roman"/>
          <w:b/>
          <w:bCs/>
          <w:kern w:val="0"/>
          <w:szCs w:val="21"/>
          <w:lang w:bidi="he-IL"/>
        </w:rPr>
        <w:t>table carbon and oxygen isotopes</w:t>
      </w:r>
      <w:r w:rsidRPr="008506EB">
        <w:rPr>
          <w:rFonts w:ascii="Times New Roman" w:hAnsi="Times New Roman" w:cs="Times New Roman" w:hint="eastAsia"/>
          <w:b/>
          <w:bCs/>
          <w:kern w:val="0"/>
          <w:szCs w:val="21"/>
          <w:lang w:bidi="he-IL"/>
        </w:rPr>
        <w:t xml:space="preserve"> methodology</w:t>
      </w:r>
    </w:p>
    <w:p w14:paraId="5501AFE3" w14:textId="77777777" w:rsidR="008506EB" w:rsidRDefault="00996D18" w:rsidP="008506EB">
      <w:pPr>
        <w:autoSpaceDE w:val="0"/>
        <w:autoSpaceDN w:val="0"/>
        <w:adjustRightInd w:val="0"/>
        <w:spacing w:line="360" w:lineRule="auto"/>
        <w:rPr>
          <w:rFonts w:ascii="Times New Roman" w:hAnsi="Times New Roman" w:cs="Times New Roman"/>
          <w:kern w:val="0"/>
          <w:szCs w:val="21"/>
        </w:rPr>
      </w:pPr>
      <w:r w:rsidRPr="00E86BE9">
        <w:rPr>
          <w:rFonts w:ascii="Times New Roman" w:hAnsi="Times New Roman" w:cs="Times New Roman"/>
          <w:kern w:val="0"/>
          <w:szCs w:val="21"/>
        </w:rPr>
        <w:t>For stable carbon and oxygen isotopes, ~10 mg of powder was reacted with 100% phosphoric acid for 4 h at 50</w:t>
      </w:r>
      <w:r w:rsidRPr="00E86BE9">
        <w:rPr>
          <w:rFonts w:ascii="Times New Roman" w:hAnsi="Times New Roman" w:cs="Times New Roman"/>
          <w:kern w:val="0"/>
        </w:rPr>
        <w:t xml:space="preserve"> </w:t>
      </w:r>
      <w:r w:rsidRPr="00E86BE9">
        <w:rPr>
          <w:rFonts w:ascii="Times New Roman" w:hAnsi="Times New Roman" w:cs="Times New Roman"/>
          <w:kern w:val="0"/>
          <w:szCs w:val="21"/>
        </w:rPr>
        <w:t>℃. The produced CO</w:t>
      </w:r>
      <w:r w:rsidRPr="00E86BE9">
        <w:rPr>
          <w:rFonts w:ascii="Times New Roman" w:hAnsi="Times New Roman" w:cs="Times New Roman"/>
          <w:kern w:val="0"/>
          <w:szCs w:val="21"/>
          <w:vertAlign w:val="subscript"/>
        </w:rPr>
        <w:t>2</w:t>
      </w:r>
      <w:r w:rsidRPr="00E86BE9">
        <w:rPr>
          <w:rFonts w:ascii="Times New Roman" w:hAnsi="Times New Roman" w:cs="Times New Roman"/>
          <w:kern w:val="0"/>
          <w:szCs w:val="21"/>
        </w:rPr>
        <w:t xml:space="preserve"> was measured for oxygen and carbon isotopic ratios in a </w:t>
      </w:r>
      <w:r w:rsidRPr="00E86BE9">
        <w:rPr>
          <w:rFonts w:ascii="Times New Roman" w:hAnsi="Times New Roman" w:cs="Times New Roman"/>
          <w:kern w:val="0"/>
          <w:szCs w:val="21"/>
        </w:rPr>
        <w:lastRenderedPageBreak/>
        <w:t xml:space="preserve">DELTA V Advantage mass spectrometer. Isotopic values are presented using </w:t>
      </w:r>
      <w:r w:rsidRPr="00E86BE9">
        <w:rPr>
          <w:rFonts w:ascii="Times New Roman" w:eastAsia="宋体" w:hAnsi="Times New Roman" w:cs="Times New Roman"/>
          <w:kern w:val="0"/>
          <w:szCs w:val="21"/>
        </w:rPr>
        <w:t>δ</w:t>
      </w:r>
      <w:r w:rsidRPr="00E86BE9">
        <w:rPr>
          <w:rFonts w:ascii="Times New Roman" w:hAnsi="Times New Roman" w:cs="Times New Roman"/>
          <w:kern w:val="0"/>
          <w:szCs w:val="21"/>
        </w:rPr>
        <w:t xml:space="preserve">-notation and are reported relative to the Vienna Peedee Belemnite (VPDB) standard. The accuracies of the </w:t>
      </w:r>
      <w:r w:rsidRPr="00E86BE9">
        <w:rPr>
          <w:rFonts w:ascii="Times New Roman" w:eastAsia="宋体" w:hAnsi="Times New Roman" w:cs="Times New Roman"/>
          <w:kern w:val="0"/>
          <w:szCs w:val="21"/>
        </w:rPr>
        <w:t>δ</w:t>
      </w:r>
      <w:r w:rsidRPr="00E86BE9">
        <w:rPr>
          <w:rFonts w:ascii="Times New Roman" w:hAnsi="Times New Roman" w:cs="Times New Roman"/>
          <w:kern w:val="0"/>
          <w:szCs w:val="21"/>
          <w:vertAlign w:val="superscript"/>
        </w:rPr>
        <w:t>13</w:t>
      </w:r>
      <w:r w:rsidRPr="00E86BE9">
        <w:rPr>
          <w:rFonts w:ascii="Times New Roman" w:hAnsi="Times New Roman" w:cs="Times New Roman"/>
          <w:kern w:val="0"/>
          <w:szCs w:val="21"/>
        </w:rPr>
        <w:t xml:space="preserve">C and </w:t>
      </w:r>
      <w:r w:rsidRPr="00E86BE9">
        <w:rPr>
          <w:rFonts w:ascii="Times New Roman" w:eastAsia="宋体" w:hAnsi="Times New Roman" w:cs="Times New Roman"/>
          <w:kern w:val="0"/>
          <w:szCs w:val="21"/>
        </w:rPr>
        <w:t>δ</w:t>
      </w:r>
      <w:r w:rsidRPr="00E86BE9">
        <w:rPr>
          <w:rFonts w:ascii="Times New Roman" w:hAnsi="Times New Roman" w:cs="Times New Roman"/>
          <w:kern w:val="0"/>
          <w:szCs w:val="21"/>
          <w:vertAlign w:val="superscript"/>
        </w:rPr>
        <w:t>18</w:t>
      </w:r>
      <w:r w:rsidRPr="00E86BE9">
        <w:rPr>
          <w:rFonts w:ascii="Times New Roman" w:hAnsi="Times New Roman" w:cs="Times New Roman"/>
          <w:kern w:val="0"/>
          <w:szCs w:val="21"/>
        </w:rPr>
        <w:t xml:space="preserve">O values are ±0.1‰ and ±0.2‰, respectively. </w:t>
      </w:r>
    </w:p>
    <w:p w14:paraId="54794CBB" w14:textId="1033D11A" w:rsidR="008E5C9D" w:rsidRPr="008506EB" w:rsidRDefault="00996D18" w:rsidP="008506EB">
      <w:pPr>
        <w:pStyle w:val="ab"/>
        <w:numPr>
          <w:ilvl w:val="0"/>
          <w:numId w:val="1"/>
        </w:numPr>
        <w:autoSpaceDE w:val="0"/>
        <w:autoSpaceDN w:val="0"/>
        <w:adjustRightInd w:val="0"/>
        <w:spacing w:line="360" w:lineRule="auto"/>
        <w:ind w:firstLineChars="0"/>
        <w:jc w:val="center"/>
        <w:rPr>
          <w:rFonts w:ascii="Times New Roman" w:hAnsi="Times New Roman" w:cs="Times New Roman"/>
          <w:kern w:val="0"/>
          <w:szCs w:val="21"/>
        </w:rPr>
      </w:pPr>
      <w:r w:rsidRPr="008506EB">
        <w:rPr>
          <w:rFonts w:ascii="Times New Roman" w:hAnsi="Times New Roman" w:cs="Times New Roman" w:hint="eastAsia"/>
          <w:b/>
          <w:bCs/>
          <w:kern w:val="0"/>
          <w:szCs w:val="21"/>
          <w:lang w:bidi="he-IL"/>
        </w:rPr>
        <w:t>Strontium isotopes methodology</w:t>
      </w:r>
    </w:p>
    <w:p w14:paraId="4C817F72" w14:textId="77777777" w:rsidR="008E5C9D" w:rsidRPr="00E86BE9" w:rsidRDefault="00996D18" w:rsidP="008506EB">
      <w:pPr>
        <w:autoSpaceDE w:val="0"/>
        <w:autoSpaceDN w:val="0"/>
        <w:adjustRightInd w:val="0"/>
        <w:spacing w:line="360" w:lineRule="auto"/>
        <w:rPr>
          <w:rFonts w:ascii="Times New Roman" w:hAnsi="Times New Roman" w:cs="Times New Roman"/>
          <w:kern w:val="0"/>
          <w:szCs w:val="21"/>
        </w:rPr>
      </w:pPr>
      <w:r w:rsidRPr="00E86BE9">
        <w:rPr>
          <w:rFonts w:ascii="Times New Roman" w:hAnsi="Times New Roman" w:cs="Times New Roman"/>
          <w:kern w:val="0"/>
          <w:szCs w:val="21"/>
        </w:rPr>
        <w:t>For strontium isotope analysis, 100-150 mg of powdered sample was dissolved using a mixture of anhydrous 1 mL of HNO</w:t>
      </w:r>
      <w:r w:rsidRPr="00E86BE9">
        <w:rPr>
          <w:rFonts w:ascii="Times New Roman" w:hAnsi="Times New Roman" w:cs="Times New Roman"/>
          <w:kern w:val="0"/>
          <w:szCs w:val="21"/>
          <w:vertAlign w:val="subscript"/>
        </w:rPr>
        <w:t>3</w:t>
      </w:r>
      <w:r w:rsidRPr="00E86BE9">
        <w:rPr>
          <w:rFonts w:ascii="Times New Roman" w:hAnsi="Times New Roman" w:cs="Times New Roman"/>
          <w:kern w:val="0"/>
          <w:szCs w:val="21"/>
        </w:rPr>
        <w:t xml:space="preserve"> and 1 mL of HF in a crucible at 190 ℃ for 48 h. Strontium was extracted using conventional exchange procedures (</w:t>
      </w:r>
      <w:proofErr w:type="spellStart"/>
      <w:r w:rsidRPr="00E86BE9">
        <w:rPr>
          <w:rFonts w:ascii="Times New Roman" w:hAnsi="Times New Roman" w:cs="Times New Roman"/>
          <w:kern w:val="0"/>
          <w:szCs w:val="21"/>
        </w:rPr>
        <w:t>Baadsgard</w:t>
      </w:r>
      <w:proofErr w:type="spellEnd"/>
      <w:r w:rsidRPr="00E86BE9">
        <w:rPr>
          <w:rFonts w:ascii="Times New Roman" w:hAnsi="Times New Roman" w:cs="Times New Roman"/>
          <w:kern w:val="0"/>
          <w:szCs w:val="21"/>
        </w:rPr>
        <w:t xml:space="preserve">, 1987). </w:t>
      </w:r>
      <w:r w:rsidRPr="00E86BE9">
        <w:rPr>
          <w:rFonts w:ascii="Times New Roman" w:hAnsi="Times New Roman" w:cs="Times New Roman"/>
          <w:kern w:val="0"/>
          <w:szCs w:val="21"/>
          <w:vertAlign w:val="superscript"/>
        </w:rPr>
        <w:t>87</w:t>
      </w:r>
      <w:r w:rsidRPr="00E86BE9">
        <w:rPr>
          <w:rFonts w:ascii="Times New Roman" w:hAnsi="Times New Roman" w:cs="Times New Roman"/>
          <w:kern w:val="0"/>
          <w:szCs w:val="21"/>
        </w:rPr>
        <w:t>Sr/</w:t>
      </w:r>
      <w:r w:rsidRPr="00E86BE9">
        <w:rPr>
          <w:rFonts w:ascii="Times New Roman" w:hAnsi="Times New Roman" w:cs="Times New Roman"/>
          <w:kern w:val="0"/>
          <w:szCs w:val="21"/>
          <w:vertAlign w:val="superscript"/>
        </w:rPr>
        <w:t>86</w:t>
      </w:r>
      <w:r w:rsidRPr="00E86BE9">
        <w:rPr>
          <w:rFonts w:ascii="Times New Roman" w:hAnsi="Times New Roman" w:cs="Times New Roman"/>
          <w:kern w:val="0"/>
          <w:szCs w:val="21"/>
        </w:rPr>
        <w:t>Sr ratios were measured using a Triton Plus thermal ionization mass spectrometer and corrected relative to the NBS987 standard. The analytical mean error (2 sigma) is ±0.5 × 10</w:t>
      </w:r>
      <w:r w:rsidRPr="00E86BE9">
        <w:rPr>
          <w:rFonts w:ascii="Times New Roman" w:hAnsi="Times New Roman" w:cs="Times New Roman"/>
          <w:kern w:val="0"/>
          <w:szCs w:val="21"/>
          <w:vertAlign w:val="superscript"/>
        </w:rPr>
        <w:t>−5</w:t>
      </w:r>
      <w:r w:rsidRPr="00E86BE9">
        <w:rPr>
          <w:rFonts w:ascii="Times New Roman" w:hAnsi="Times New Roman" w:cs="Times New Roman"/>
          <w:kern w:val="0"/>
          <w:szCs w:val="21"/>
        </w:rPr>
        <w:t xml:space="preserve"> for </w:t>
      </w:r>
      <w:r w:rsidRPr="00E86BE9">
        <w:rPr>
          <w:rFonts w:ascii="Times New Roman" w:hAnsi="Times New Roman" w:cs="Times New Roman"/>
          <w:kern w:val="0"/>
          <w:szCs w:val="21"/>
          <w:vertAlign w:val="superscript"/>
        </w:rPr>
        <w:t>87</w:t>
      </w:r>
      <w:r w:rsidRPr="00E86BE9">
        <w:rPr>
          <w:rFonts w:ascii="Times New Roman" w:hAnsi="Times New Roman" w:cs="Times New Roman"/>
          <w:kern w:val="0"/>
          <w:szCs w:val="21"/>
        </w:rPr>
        <w:t>Sr/</w:t>
      </w:r>
      <w:r w:rsidRPr="00E86BE9">
        <w:rPr>
          <w:rFonts w:ascii="Times New Roman" w:hAnsi="Times New Roman" w:cs="Times New Roman"/>
          <w:kern w:val="0"/>
          <w:szCs w:val="21"/>
          <w:vertAlign w:val="superscript"/>
        </w:rPr>
        <w:t>86</w:t>
      </w:r>
      <w:r w:rsidRPr="00E86BE9">
        <w:rPr>
          <w:rFonts w:ascii="Times New Roman" w:hAnsi="Times New Roman" w:cs="Times New Roman"/>
          <w:kern w:val="0"/>
          <w:szCs w:val="21"/>
        </w:rPr>
        <w:t>Sr ratios.</w:t>
      </w:r>
    </w:p>
    <w:p w14:paraId="1F030644" w14:textId="7B03821A" w:rsidR="008E5C9D" w:rsidRPr="008506EB" w:rsidRDefault="00996D18" w:rsidP="008506EB">
      <w:pPr>
        <w:pStyle w:val="ab"/>
        <w:widowControl/>
        <w:numPr>
          <w:ilvl w:val="0"/>
          <w:numId w:val="1"/>
        </w:numPr>
        <w:autoSpaceDE w:val="0"/>
        <w:autoSpaceDN w:val="0"/>
        <w:adjustRightInd w:val="0"/>
        <w:ind w:firstLineChars="0"/>
        <w:jc w:val="center"/>
        <w:rPr>
          <w:rFonts w:ascii="Times New Roman" w:hAnsi="Times New Roman" w:cs="Times New Roman"/>
          <w:b/>
          <w:bCs/>
          <w:kern w:val="0"/>
          <w:szCs w:val="21"/>
          <w:lang w:bidi="he-IL"/>
        </w:rPr>
      </w:pPr>
      <w:r w:rsidRPr="008506EB">
        <w:rPr>
          <w:rFonts w:ascii="Times New Roman" w:hAnsi="Times New Roman" w:cs="Times New Roman" w:hint="eastAsia"/>
          <w:b/>
          <w:bCs/>
          <w:kern w:val="0"/>
          <w:szCs w:val="21"/>
          <w:lang w:bidi="he-IL"/>
        </w:rPr>
        <w:t>Trace elements and REE methodology</w:t>
      </w:r>
    </w:p>
    <w:p w14:paraId="327A8E65" w14:textId="77777777" w:rsidR="0065036F" w:rsidRDefault="00996D18" w:rsidP="0065036F">
      <w:pPr>
        <w:autoSpaceDE w:val="0"/>
        <w:autoSpaceDN w:val="0"/>
        <w:adjustRightInd w:val="0"/>
        <w:spacing w:line="360" w:lineRule="auto"/>
        <w:rPr>
          <w:rFonts w:ascii="Times New Roman" w:hAnsi="Times New Roman" w:cs="Times New Roman"/>
          <w:kern w:val="0"/>
          <w:szCs w:val="21"/>
        </w:rPr>
      </w:pPr>
      <w:r w:rsidRPr="00E86BE9">
        <w:rPr>
          <w:rFonts w:ascii="Times New Roman" w:hAnsi="Times New Roman" w:cs="Times New Roman"/>
          <w:kern w:val="0"/>
          <w:szCs w:val="21"/>
        </w:rPr>
        <w:t>Trace elements and REE were tested by HR-ICP-MS (ELEMENT XR). 50-100 mg of powder from each calcite sample was dissolved in a mixture of 0.6 mL of nitric acid and 2.5 mL of hydrofluoric acid solution at 185</w:t>
      </w:r>
      <w:r w:rsidRPr="00E86BE9">
        <w:rPr>
          <w:rFonts w:ascii="Times New Roman" w:hAnsi="Times New Roman" w:cs="Times New Roman"/>
          <w:kern w:val="0"/>
        </w:rPr>
        <w:t xml:space="preserve"> ℃</w:t>
      </w:r>
      <w:r w:rsidRPr="00E86BE9">
        <w:rPr>
          <w:rFonts w:ascii="Times New Roman" w:hAnsi="Times New Roman" w:cs="Times New Roman"/>
          <w:kern w:val="0"/>
          <w:szCs w:val="21"/>
        </w:rPr>
        <w:t xml:space="preserve"> for 72 h. After drying, it was reacted with 4 mL of 20% mixed acid (HCl: HNO</w:t>
      </w:r>
      <w:r w:rsidRPr="00E86BE9">
        <w:rPr>
          <w:rFonts w:ascii="Times New Roman" w:hAnsi="Times New Roman" w:cs="Times New Roman"/>
          <w:kern w:val="0"/>
          <w:vertAlign w:val="subscript"/>
        </w:rPr>
        <w:t>3</w:t>
      </w:r>
      <w:r w:rsidRPr="00E86BE9">
        <w:rPr>
          <w:rFonts w:ascii="Times New Roman" w:hAnsi="Times New Roman" w:cs="Times New Roman"/>
          <w:kern w:val="0"/>
          <w:szCs w:val="21"/>
        </w:rPr>
        <w:t xml:space="preserve"> = 4:1) at 130 </w:t>
      </w:r>
      <w:r w:rsidRPr="00E86BE9">
        <w:rPr>
          <w:rFonts w:ascii="Times New Roman" w:hAnsi="Times New Roman" w:cs="Times New Roman"/>
          <w:kern w:val="0"/>
        </w:rPr>
        <w:t>℃</w:t>
      </w:r>
      <w:r w:rsidRPr="00E86BE9">
        <w:rPr>
          <w:rFonts w:ascii="Times New Roman" w:hAnsi="Times New Roman" w:cs="Times New Roman"/>
          <w:kern w:val="0"/>
          <w:szCs w:val="21"/>
        </w:rPr>
        <w:t xml:space="preserve"> for 3 h. After the acid had been excluded, the resulting solution was analyzed with a </w:t>
      </w:r>
      <w:proofErr w:type="spellStart"/>
      <w:r w:rsidRPr="00E86BE9">
        <w:rPr>
          <w:rFonts w:ascii="Times New Roman" w:hAnsi="Times New Roman" w:cs="Times New Roman"/>
          <w:kern w:val="0"/>
          <w:szCs w:val="21"/>
        </w:rPr>
        <w:t>Thermo</w:t>
      </w:r>
      <w:proofErr w:type="spellEnd"/>
      <w:r w:rsidRPr="00E86BE9">
        <w:rPr>
          <w:rFonts w:ascii="Times New Roman" w:hAnsi="Times New Roman" w:cs="Times New Roman"/>
          <w:kern w:val="0"/>
          <w:szCs w:val="21"/>
        </w:rPr>
        <w:t xml:space="preserve"> X-series ICP-MS in high-performance mode with standard instrument conditions. Instrument response was calibrated against two independent digests of USGS reference material W-2 and confirmed by analysis of other reference materials. Corrections were applied for oxides using formation rates determined from pure single-element REE standards. </w:t>
      </w:r>
    </w:p>
    <w:p w14:paraId="6B34B067" w14:textId="52FDDDE1" w:rsidR="008E5C9D" w:rsidRPr="0065036F" w:rsidRDefault="00996D18" w:rsidP="0065036F">
      <w:pPr>
        <w:pStyle w:val="ab"/>
        <w:numPr>
          <w:ilvl w:val="0"/>
          <w:numId w:val="1"/>
        </w:numPr>
        <w:autoSpaceDE w:val="0"/>
        <w:autoSpaceDN w:val="0"/>
        <w:adjustRightInd w:val="0"/>
        <w:spacing w:line="360" w:lineRule="auto"/>
        <w:ind w:firstLineChars="0"/>
        <w:jc w:val="center"/>
        <w:rPr>
          <w:rFonts w:ascii="Times New Roman" w:hAnsi="Times New Roman" w:cs="Times New Roman"/>
          <w:b/>
          <w:bCs/>
          <w:kern w:val="0"/>
          <w:szCs w:val="21"/>
          <w:lang w:bidi="he-IL"/>
        </w:rPr>
      </w:pPr>
      <w:r w:rsidRPr="0065036F">
        <w:rPr>
          <w:rFonts w:ascii="Times New Roman" w:hAnsi="Times New Roman" w:cs="Times New Roman"/>
          <w:b/>
          <w:bCs/>
          <w:kern w:val="0"/>
          <w:szCs w:val="21"/>
          <w:lang w:bidi="he-IL"/>
        </w:rPr>
        <w:t>LA-ICP-MS U-Pb geochronology</w:t>
      </w:r>
    </w:p>
    <w:p w14:paraId="5F603E6D" w14:textId="12D57A90" w:rsidR="008E5C9D" w:rsidRPr="00E86BE9" w:rsidRDefault="00996D18" w:rsidP="008506EB">
      <w:pPr>
        <w:widowControl/>
        <w:autoSpaceDE w:val="0"/>
        <w:autoSpaceDN w:val="0"/>
        <w:adjustRightInd w:val="0"/>
        <w:spacing w:line="360" w:lineRule="auto"/>
        <w:rPr>
          <w:rFonts w:ascii="Times New Roman" w:hAnsi="Times New Roman" w:cs="Times New Roman"/>
          <w:kern w:val="0"/>
          <w:szCs w:val="21"/>
          <w:lang w:bidi="he-IL"/>
        </w:rPr>
      </w:pPr>
      <w:r w:rsidRPr="00E86BE9">
        <w:rPr>
          <w:rFonts w:ascii="Times New Roman" w:hAnsi="Times New Roman" w:cs="Times New Roman"/>
          <w:kern w:val="0"/>
          <w:szCs w:val="21"/>
          <w:lang w:bidi="he-IL"/>
        </w:rPr>
        <w:t xml:space="preserve">Ten samples (3 VCs, 3 SFCs, and 4 MCs) were chosen to perform the laser-ablated U-Pb dating. Samples were prepared as 100 µm thick thin sections and polished. After optical and cathodoluminescent observation, dating fabrics were determined for each sample and were ablated and analyzed using a </w:t>
      </w:r>
      <w:proofErr w:type="spellStart"/>
      <w:r w:rsidRPr="00E86BE9">
        <w:rPr>
          <w:rFonts w:ascii="Times New Roman" w:hAnsi="Times New Roman" w:cs="Times New Roman"/>
          <w:kern w:val="0"/>
          <w:szCs w:val="21"/>
          <w:lang w:bidi="he-IL"/>
        </w:rPr>
        <w:t>Geolas</w:t>
      </w:r>
      <w:proofErr w:type="spellEnd"/>
      <w:r w:rsidRPr="00E86BE9">
        <w:rPr>
          <w:rFonts w:ascii="Times New Roman" w:hAnsi="Times New Roman" w:cs="Times New Roman"/>
          <w:kern w:val="0"/>
          <w:szCs w:val="21"/>
          <w:lang w:bidi="he-IL"/>
        </w:rPr>
        <w:t xml:space="preserve"> HD laser ablation system with a 193 nm beam coupled to an Element XR Induced Coupled Plasma Mass Spectrometer (ICP-MS) housed at the </w:t>
      </w:r>
      <w:r w:rsidRPr="00E86BE9">
        <w:rPr>
          <w:rFonts w:ascii="Times New Roman" w:hAnsi="Times New Roman" w:cs="Times New Roman" w:hint="eastAsia"/>
          <w:kern w:val="0"/>
          <w:szCs w:val="21"/>
          <w:lang w:bidi="he-IL"/>
        </w:rPr>
        <w:t>China National Petroleum Corporation</w:t>
      </w:r>
      <w:r w:rsidRPr="00E86BE9">
        <w:rPr>
          <w:rFonts w:ascii="Times New Roman" w:hAnsi="Times New Roman" w:cs="Times New Roman"/>
          <w:kern w:val="0"/>
          <w:szCs w:val="21"/>
          <w:lang w:bidi="he-IL"/>
        </w:rPr>
        <w:t xml:space="preserve"> (CNPC) Key Laboratory of Carbonate Reservoir. The laser beam diameter for calcite sample and calcite reference material was 160 µm, at 6 Hz, and with a fluence of 2 J/cm2</w:t>
      </w:r>
      <w:r w:rsidR="0065036F">
        <w:rPr>
          <w:rFonts w:ascii="Times New Roman" w:hAnsi="Times New Roman" w:cs="Times New Roman"/>
          <w:kern w:val="0"/>
          <w:szCs w:val="21"/>
          <w:lang w:bidi="he-IL"/>
        </w:rPr>
        <w:t xml:space="preserve"> (Table S2)</w:t>
      </w:r>
      <w:r w:rsidRPr="00E86BE9">
        <w:rPr>
          <w:rFonts w:ascii="Times New Roman" w:hAnsi="Times New Roman" w:cs="Times New Roman"/>
          <w:kern w:val="0"/>
          <w:szCs w:val="21"/>
          <w:lang w:bidi="he-IL"/>
        </w:rPr>
        <w:t xml:space="preserve">. Two calcite samples of known age, NIST 614 and WC-1 (Roberts et al., 2017), were used as calcite reference materials. NIST 614 was used for the </w:t>
      </w:r>
      <w:r w:rsidRPr="00E86BE9">
        <w:rPr>
          <w:rFonts w:ascii="Times New Roman" w:hAnsi="Times New Roman" w:cs="Times New Roman"/>
          <w:kern w:val="0"/>
          <w:szCs w:val="21"/>
          <w:vertAlign w:val="superscript"/>
          <w:lang w:bidi="he-IL"/>
        </w:rPr>
        <w:t>207</w:t>
      </w:r>
      <w:r w:rsidRPr="00E86BE9">
        <w:rPr>
          <w:rFonts w:ascii="Times New Roman" w:hAnsi="Times New Roman" w:cs="Times New Roman"/>
          <w:kern w:val="0"/>
          <w:szCs w:val="21"/>
          <w:lang w:bidi="he-IL"/>
        </w:rPr>
        <w:t>Pb/</w:t>
      </w:r>
      <w:r w:rsidRPr="00E86BE9">
        <w:rPr>
          <w:rFonts w:ascii="Times New Roman" w:hAnsi="Times New Roman" w:cs="Times New Roman"/>
          <w:kern w:val="0"/>
          <w:szCs w:val="21"/>
          <w:vertAlign w:val="superscript"/>
          <w:lang w:bidi="he-IL"/>
        </w:rPr>
        <w:t>206</w:t>
      </w:r>
      <w:r w:rsidRPr="00E86BE9">
        <w:rPr>
          <w:rFonts w:ascii="Times New Roman" w:hAnsi="Times New Roman" w:cs="Times New Roman"/>
          <w:kern w:val="0"/>
          <w:szCs w:val="21"/>
          <w:lang w:bidi="he-IL"/>
        </w:rPr>
        <w:t xml:space="preserve">Pb calibration and </w:t>
      </w:r>
      <w:r w:rsidRPr="00E86BE9">
        <w:rPr>
          <w:rFonts w:ascii="Times New Roman" w:hAnsi="Times New Roman" w:cs="Times New Roman"/>
          <w:kern w:val="0"/>
          <w:szCs w:val="21"/>
          <w:lang w:bidi="he-IL"/>
        </w:rPr>
        <w:lastRenderedPageBreak/>
        <w:t xml:space="preserve">WC-1 with the age of 254.4 Ma was used for </w:t>
      </w:r>
      <w:r w:rsidRPr="00E86BE9">
        <w:rPr>
          <w:rFonts w:ascii="Times New Roman" w:hAnsi="Times New Roman" w:cs="Times New Roman"/>
          <w:kern w:val="0"/>
          <w:szCs w:val="21"/>
          <w:vertAlign w:val="superscript"/>
          <w:lang w:bidi="he-IL"/>
        </w:rPr>
        <w:t>238</w:t>
      </w:r>
      <w:r w:rsidRPr="00E86BE9">
        <w:rPr>
          <w:rFonts w:ascii="Times New Roman" w:hAnsi="Times New Roman" w:cs="Times New Roman"/>
          <w:kern w:val="0"/>
          <w:szCs w:val="21"/>
          <w:lang w:bidi="he-IL"/>
        </w:rPr>
        <w:t>U/</w:t>
      </w:r>
      <w:r w:rsidRPr="00E86BE9">
        <w:rPr>
          <w:rFonts w:ascii="Times New Roman" w:hAnsi="Times New Roman" w:cs="Times New Roman"/>
          <w:kern w:val="0"/>
          <w:szCs w:val="21"/>
          <w:vertAlign w:val="superscript"/>
          <w:lang w:bidi="he-IL"/>
        </w:rPr>
        <w:t>206</w:t>
      </w:r>
      <w:r w:rsidRPr="00E86BE9">
        <w:rPr>
          <w:rFonts w:ascii="Times New Roman" w:hAnsi="Times New Roman" w:cs="Times New Roman"/>
          <w:kern w:val="0"/>
          <w:szCs w:val="21"/>
          <w:lang w:bidi="he-IL"/>
        </w:rPr>
        <w:t xml:space="preserve">Pb calibration by a linear correction. Additionally, the Laboratory </w:t>
      </w:r>
      <w:r w:rsidRPr="00E86BE9">
        <w:rPr>
          <w:rFonts w:ascii="Times New Roman" w:hAnsi="Times New Roman" w:cs="Times New Roman" w:hint="eastAsia"/>
          <w:kern w:val="0"/>
          <w:szCs w:val="21"/>
          <w:lang w:bidi="he-IL"/>
        </w:rPr>
        <w:t>calcite</w:t>
      </w:r>
      <w:r w:rsidRPr="00E86BE9">
        <w:rPr>
          <w:rFonts w:ascii="Times New Roman" w:hAnsi="Times New Roman" w:cs="Times New Roman"/>
          <w:kern w:val="0"/>
          <w:szCs w:val="21"/>
          <w:lang w:bidi="he-IL"/>
        </w:rPr>
        <w:t xml:space="preserve"> reference material AHX-1 </w:t>
      </w:r>
      <w:r w:rsidRPr="00E86BE9">
        <w:rPr>
          <w:rFonts w:ascii="Times New Roman" w:hAnsi="Times New Roman" w:cs="Times New Roman" w:hint="eastAsia"/>
          <w:kern w:val="0"/>
          <w:szCs w:val="21"/>
          <w:lang w:bidi="he-IL"/>
        </w:rPr>
        <w:t>(</w:t>
      </w:r>
      <w:r w:rsidRPr="00E86BE9">
        <w:rPr>
          <w:rFonts w:ascii="Times New Roman" w:hAnsi="Times New Roman" w:cs="Times New Roman"/>
          <w:kern w:val="0"/>
          <w:szCs w:val="21"/>
          <w:lang w:bidi="he-IL"/>
        </w:rPr>
        <w:t>Shen et al., 2019</w:t>
      </w:r>
      <w:r w:rsidRPr="00E86BE9">
        <w:rPr>
          <w:rFonts w:ascii="Times New Roman" w:hAnsi="Times New Roman" w:cs="Times New Roman" w:hint="eastAsia"/>
          <w:kern w:val="0"/>
          <w:szCs w:val="21"/>
          <w:lang w:bidi="he-IL"/>
        </w:rPr>
        <w:t xml:space="preserve">) </w:t>
      </w:r>
      <w:r w:rsidRPr="00E86BE9">
        <w:rPr>
          <w:rFonts w:ascii="Times New Roman" w:hAnsi="Times New Roman" w:cs="Times New Roman"/>
          <w:kern w:val="0"/>
          <w:szCs w:val="21"/>
          <w:lang w:bidi="he-IL"/>
        </w:rPr>
        <w:t>with the age of 2</w:t>
      </w:r>
      <w:r w:rsidRPr="00E86BE9">
        <w:rPr>
          <w:rFonts w:ascii="Times New Roman" w:hAnsi="Times New Roman" w:cs="Times New Roman" w:hint="eastAsia"/>
          <w:kern w:val="0"/>
          <w:szCs w:val="21"/>
          <w:lang w:bidi="he-IL"/>
        </w:rPr>
        <w:t>09.8</w:t>
      </w:r>
      <w:r w:rsidRPr="00E86BE9">
        <w:rPr>
          <w:rFonts w:ascii="Times New Roman" w:hAnsi="Times New Roman" w:cs="Times New Roman" w:hint="eastAsia"/>
          <w:kern w:val="0"/>
          <w:szCs w:val="21"/>
          <w:lang w:bidi="he-IL"/>
        </w:rPr>
        <w:t>±</w:t>
      </w:r>
      <w:r w:rsidRPr="00E86BE9">
        <w:rPr>
          <w:rFonts w:ascii="Times New Roman" w:hAnsi="Times New Roman" w:cs="Times New Roman" w:hint="eastAsia"/>
          <w:kern w:val="0"/>
          <w:szCs w:val="21"/>
          <w:lang w:bidi="he-IL"/>
        </w:rPr>
        <w:t>2.0</w:t>
      </w:r>
      <w:r w:rsidRPr="00E86BE9">
        <w:rPr>
          <w:rFonts w:ascii="Times New Roman" w:hAnsi="Times New Roman" w:cs="Times New Roman"/>
          <w:kern w:val="0"/>
          <w:szCs w:val="21"/>
          <w:lang w:bidi="he-IL"/>
        </w:rPr>
        <w:t xml:space="preserve"> Ma</w:t>
      </w:r>
      <w:r w:rsidRPr="00E86BE9">
        <w:rPr>
          <w:rFonts w:ascii="Times New Roman" w:hAnsi="Times New Roman" w:cs="Times New Roman" w:hint="eastAsia"/>
          <w:kern w:val="0"/>
          <w:szCs w:val="21"/>
          <w:lang w:bidi="he-IL"/>
        </w:rPr>
        <w:t xml:space="preserve"> (MSWD=3.0)</w:t>
      </w:r>
      <w:r w:rsidRPr="00E86BE9">
        <w:rPr>
          <w:rFonts w:ascii="Times New Roman" w:hAnsi="Times New Roman" w:cs="Times New Roman"/>
          <w:kern w:val="0"/>
          <w:szCs w:val="21"/>
          <w:lang w:bidi="he-IL"/>
        </w:rPr>
        <w:t xml:space="preserve"> was used to check the result quality</w:t>
      </w:r>
      <w:r w:rsidRPr="00E86BE9">
        <w:rPr>
          <w:rFonts w:ascii="Times New Roman" w:hAnsi="Times New Roman" w:cs="Times New Roman" w:hint="eastAsia"/>
          <w:kern w:val="0"/>
          <w:szCs w:val="21"/>
          <w:lang w:bidi="he-IL"/>
        </w:rPr>
        <w:t xml:space="preserve"> (detailed data for AHX-1 seen in the supplementary material)</w:t>
      </w:r>
      <w:r w:rsidRPr="00E86BE9">
        <w:rPr>
          <w:rFonts w:ascii="Times New Roman" w:hAnsi="Times New Roman" w:cs="Times New Roman"/>
          <w:kern w:val="0"/>
          <w:szCs w:val="21"/>
          <w:lang w:bidi="he-IL"/>
        </w:rPr>
        <w:t xml:space="preserve">. </w:t>
      </w:r>
    </w:p>
    <w:p w14:paraId="0A47C1BB" w14:textId="04652B06" w:rsidR="008E5C9D" w:rsidRPr="00E86BE9" w:rsidRDefault="00996D18" w:rsidP="008506EB">
      <w:pPr>
        <w:widowControl/>
        <w:autoSpaceDE w:val="0"/>
        <w:autoSpaceDN w:val="0"/>
        <w:adjustRightInd w:val="0"/>
        <w:spacing w:line="360" w:lineRule="auto"/>
        <w:ind w:firstLineChars="200" w:firstLine="420"/>
        <w:rPr>
          <w:rFonts w:ascii="Times New Roman" w:hAnsi="Times New Roman" w:cs="Times New Roman"/>
          <w:kern w:val="0"/>
          <w:szCs w:val="21"/>
          <w:lang w:bidi="he-IL"/>
        </w:rPr>
      </w:pPr>
      <w:r w:rsidRPr="00E86BE9">
        <w:rPr>
          <w:rFonts w:ascii="Times New Roman" w:hAnsi="Times New Roman" w:cs="Times New Roman"/>
          <w:kern w:val="0"/>
          <w:szCs w:val="21"/>
          <w:lang w:bidi="he-IL"/>
        </w:rPr>
        <w:t>Ablation were performed in a helium atmosphere (0.6 l/min) and mixed in the ablation funnel with 0.9 l/min argon and 0.005 l/min nitrogen. Signal strength at the ICP-MS was tuned for maximum sensitivity while keeping oxide formation below 0.3% (UO/U) and element fraction low (e.g.</w:t>
      </w:r>
      <w:r w:rsidR="0065036F">
        <w:rPr>
          <w:rFonts w:ascii="Times New Roman" w:hAnsi="Times New Roman" w:cs="Times New Roman"/>
          <w:kern w:val="0"/>
          <w:szCs w:val="21"/>
          <w:lang w:bidi="he-IL"/>
        </w:rPr>
        <w:t>,</w:t>
      </w:r>
      <w:r w:rsidRPr="00E86BE9">
        <w:rPr>
          <w:rFonts w:ascii="Times New Roman" w:hAnsi="Times New Roman" w:cs="Times New Roman"/>
          <w:kern w:val="0"/>
          <w:szCs w:val="21"/>
          <w:lang w:bidi="he-IL"/>
        </w:rPr>
        <w:t xml:space="preserve"> Th/U = 1). During the experiment, after the thin-section was loaded into the tray, following a 20 s period of baseline accumulation, the laser was turned on and pre-ablated the spots for 2 seconds to clean the surface. Then the data were collected for 40 s and followed by a 30 s washout period, totally it takes about 1.5 min for each one spot. Seven unknowns were analyzed between each </w:t>
      </w:r>
      <w:r w:rsidR="0065036F" w:rsidRPr="00E86BE9">
        <w:rPr>
          <w:rFonts w:ascii="Times New Roman" w:hAnsi="Times New Roman" w:cs="Times New Roman"/>
          <w:kern w:val="0"/>
          <w:szCs w:val="21"/>
          <w:lang w:bidi="he-IL"/>
        </w:rPr>
        <w:t>two-reference</w:t>
      </w:r>
      <w:r w:rsidRPr="00E86BE9">
        <w:rPr>
          <w:rFonts w:ascii="Times New Roman" w:hAnsi="Times New Roman" w:cs="Times New Roman"/>
          <w:kern w:val="0"/>
          <w:szCs w:val="21"/>
          <w:lang w:bidi="he-IL"/>
        </w:rPr>
        <w:t xml:space="preserve"> material analysis. About 40 spots</w:t>
      </w:r>
      <w:r w:rsidRPr="00E86BE9">
        <w:rPr>
          <w:rFonts w:ascii="Times New Roman" w:hAnsi="Times New Roman" w:cs="Times New Roman" w:hint="eastAsia"/>
          <w:kern w:val="0"/>
          <w:szCs w:val="21"/>
          <w:lang w:bidi="he-IL"/>
        </w:rPr>
        <w:t xml:space="preserve"> (32~71)</w:t>
      </w:r>
      <w:r w:rsidRPr="00E86BE9">
        <w:rPr>
          <w:rFonts w:ascii="Times New Roman" w:hAnsi="Times New Roman" w:cs="Times New Roman"/>
          <w:kern w:val="0"/>
          <w:szCs w:val="21"/>
          <w:lang w:bidi="he-IL"/>
        </w:rPr>
        <w:t xml:space="preserve"> were ablated for each sample as suggested by Roberts et al. (2017). Data reduction and uncertainty propagation follow Roberts et al. (2017) and the recommendations of </w:t>
      </w:r>
      <w:proofErr w:type="spellStart"/>
      <w:r w:rsidRPr="00E86BE9">
        <w:rPr>
          <w:rFonts w:ascii="Times New Roman" w:hAnsi="Times New Roman" w:cs="Times New Roman"/>
          <w:kern w:val="0"/>
          <w:szCs w:val="21"/>
          <w:lang w:bidi="he-IL"/>
        </w:rPr>
        <w:t>Horstwood</w:t>
      </w:r>
      <w:proofErr w:type="spellEnd"/>
      <w:r w:rsidRPr="00E86BE9">
        <w:rPr>
          <w:rFonts w:ascii="Times New Roman" w:hAnsi="Times New Roman" w:cs="Times New Roman"/>
          <w:kern w:val="0"/>
          <w:szCs w:val="21"/>
          <w:lang w:bidi="he-IL"/>
        </w:rPr>
        <w:t xml:space="preserve"> et al. (2016)</w:t>
      </w:r>
      <w:r w:rsidRPr="00E86BE9">
        <w:rPr>
          <w:rFonts w:ascii="Times New Roman" w:hAnsi="Times New Roman" w:cs="Times New Roman" w:hint="eastAsia"/>
          <w:kern w:val="0"/>
          <w:szCs w:val="21"/>
          <w:lang w:bidi="he-IL"/>
        </w:rPr>
        <w:t xml:space="preserve">, and </w:t>
      </w:r>
      <w:r w:rsidRPr="00E86BE9">
        <w:rPr>
          <w:rFonts w:ascii="Times New Roman" w:hAnsi="Times New Roman" w:cs="Times New Roman"/>
          <w:kern w:val="0"/>
          <w:szCs w:val="21"/>
          <w:lang w:bidi="he-IL"/>
        </w:rPr>
        <w:t xml:space="preserve">the original uncertainty of either WC-1 or AHX-1 date was not propagated through to the analyses, considering most of the uncertainties are too small to change the results significantly. Age calculations and plotting were performed using </w:t>
      </w:r>
      <w:proofErr w:type="spellStart"/>
      <w:r w:rsidRPr="00E86BE9">
        <w:rPr>
          <w:rFonts w:ascii="Times New Roman" w:hAnsi="Times New Roman" w:cs="Times New Roman"/>
          <w:kern w:val="0"/>
          <w:szCs w:val="21"/>
          <w:lang w:bidi="he-IL"/>
        </w:rPr>
        <w:t>Isoplot</w:t>
      </w:r>
      <w:proofErr w:type="spellEnd"/>
      <w:r w:rsidRPr="00E86BE9">
        <w:rPr>
          <w:rFonts w:ascii="Times New Roman" w:hAnsi="Times New Roman" w:cs="Times New Roman"/>
          <w:kern w:val="0"/>
          <w:szCs w:val="21"/>
          <w:lang w:bidi="he-IL"/>
        </w:rPr>
        <w:t xml:space="preserve"> 4.15 (Ludwig, 2012). The conventional Tera-</w:t>
      </w:r>
      <w:proofErr w:type="spellStart"/>
      <w:r w:rsidRPr="00E86BE9">
        <w:rPr>
          <w:rFonts w:ascii="Times New Roman" w:hAnsi="Times New Roman" w:cs="Times New Roman"/>
          <w:kern w:val="0"/>
          <w:szCs w:val="21"/>
          <w:lang w:bidi="he-IL"/>
        </w:rPr>
        <w:t>Wasserburg</w:t>
      </w:r>
      <w:proofErr w:type="spellEnd"/>
      <w:r w:rsidRPr="00E86BE9">
        <w:rPr>
          <w:rFonts w:ascii="Times New Roman" w:hAnsi="Times New Roman" w:cs="Times New Roman"/>
          <w:kern w:val="0"/>
          <w:szCs w:val="21"/>
          <w:lang w:bidi="he-IL"/>
        </w:rPr>
        <w:t xml:space="preserve"> (T-W) plot of </w:t>
      </w:r>
      <w:r w:rsidRPr="00E86BE9">
        <w:rPr>
          <w:rFonts w:ascii="Times New Roman" w:hAnsi="Times New Roman" w:cs="Times New Roman"/>
          <w:kern w:val="0"/>
          <w:szCs w:val="21"/>
          <w:vertAlign w:val="superscript"/>
          <w:lang w:bidi="he-IL"/>
        </w:rPr>
        <w:t>207</w:t>
      </w:r>
      <w:r w:rsidRPr="00E86BE9">
        <w:rPr>
          <w:rFonts w:ascii="Times New Roman" w:hAnsi="Times New Roman" w:cs="Times New Roman"/>
          <w:kern w:val="0"/>
          <w:szCs w:val="21"/>
          <w:lang w:bidi="he-IL"/>
        </w:rPr>
        <w:t>Pb/</w:t>
      </w:r>
      <w:r w:rsidRPr="00E86BE9">
        <w:rPr>
          <w:rFonts w:ascii="Times New Roman" w:hAnsi="Times New Roman" w:cs="Times New Roman"/>
          <w:kern w:val="0"/>
          <w:szCs w:val="21"/>
          <w:vertAlign w:val="superscript"/>
          <w:lang w:bidi="he-IL"/>
        </w:rPr>
        <w:t>206</w:t>
      </w:r>
      <w:r w:rsidRPr="00E86BE9">
        <w:rPr>
          <w:rFonts w:ascii="Times New Roman" w:hAnsi="Times New Roman" w:cs="Times New Roman"/>
          <w:kern w:val="0"/>
          <w:szCs w:val="21"/>
          <w:lang w:bidi="he-IL"/>
        </w:rPr>
        <w:t xml:space="preserve">Pb v. </w:t>
      </w:r>
      <w:r w:rsidRPr="00E86BE9">
        <w:rPr>
          <w:rFonts w:ascii="Times New Roman" w:hAnsi="Times New Roman" w:cs="Times New Roman"/>
          <w:kern w:val="0"/>
          <w:szCs w:val="21"/>
          <w:vertAlign w:val="superscript"/>
          <w:lang w:bidi="he-IL"/>
        </w:rPr>
        <w:t>238</w:t>
      </w:r>
      <w:r w:rsidRPr="00E86BE9">
        <w:rPr>
          <w:rFonts w:ascii="Times New Roman" w:hAnsi="Times New Roman" w:cs="Times New Roman"/>
          <w:kern w:val="0"/>
          <w:szCs w:val="21"/>
          <w:lang w:bidi="he-IL"/>
        </w:rPr>
        <w:t>U/</w:t>
      </w:r>
      <w:r w:rsidRPr="00E86BE9">
        <w:rPr>
          <w:rFonts w:ascii="Times New Roman" w:hAnsi="Times New Roman" w:cs="Times New Roman"/>
          <w:kern w:val="0"/>
          <w:szCs w:val="21"/>
          <w:vertAlign w:val="superscript"/>
          <w:lang w:bidi="he-IL"/>
        </w:rPr>
        <w:t>206</w:t>
      </w:r>
      <w:r w:rsidRPr="00E86BE9">
        <w:rPr>
          <w:rFonts w:ascii="Times New Roman" w:hAnsi="Times New Roman" w:cs="Times New Roman"/>
          <w:kern w:val="0"/>
          <w:szCs w:val="21"/>
          <w:lang w:bidi="he-IL"/>
        </w:rPr>
        <w:t xml:space="preserve">Pb was used to determine regression ages. </w:t>
      </w:r>
    </w:p>
    <w:p w14:paraId="5E118580" w14:textId="1A8B047A" w:rsidR="0065036F" w:rsidRPr="0065036F" w:rsidRDefault="00996D18" w:rsidP="0065036F">
      <w:pPr>
        <w:pStyle w:val="ab"/>
        <w:numPr>
          <w:ilvl w:val="0"/>
          <w:numId w:val="1"/>
        </w:numPr>
        <w:ind w:firstLineChars="0"/>
        <w:jc w:val="center"/>
        <w:rPr>
          <w:rFonts w:ascii="Times New Roman" w:eastAsia="宋体" w:hAnsi="Times New Roman" w:cs="Times New Roman"/>
          <w:kern w:val="0"/>
          <w:szCs w:val="21"/>
          <w:lang w:bidi="ar"/>
        </w:rPr>
      </w:pPr>
      <w:r w:rsidRPr="0065036F">
        <w:rPr>
          <w:rFonts w:ascii="Times New Roman" w:eastAsia="宋体" w:hAnsi="Times New Roman" w:cs="Times New Roman"/>
          <w:kern w:val="0"/>
          <w:szCs w:val="21"/>
          <w:lang w:bidi="ar"/>
        </w:rPr>
        <w:t xml:space="preserve">Table </w:t>
      </w:r>
      <w:r w:rsidR="0065036F" w:rsidRPr="0065036F">
        <w:rPr>
          <w:rFonts w:ascii="Times New Roman" w:eastAsia="宋体" w:hAnsi="Times New Roman" w:cs="Times New Roman"/>
          <w:kern w:val="0"/>
          <w:szCs w:val="21"/>
          <w:lang w:bidi="ar"/>
        </w:rPr>
        <w:t>S</w:t>
      </w:r>
      <w:r w:rsidRPr="0065036F">
        <w:rPr>
          <w:rFonts w:ascii="Times New Roman" w:eastAsia="宋体" w:hAnsi="Times New Roman" w:cs="Times New Roman"/>
          <w:kern w:val="0"/>
          <w:szCs w:val="21"/>
          <w:lang w:bidi="ar"/>
        </w:rPr>
        <w:t>1</w:t>
      </w:r>
    </w:p>
    <w:p w14:paraId="0CC187E2" w14:textId="5A432C90" w:rsidR="008E5C9D" w:rsidRPr="0065036F" w:rsidRDefault="00996D18">
      <w:pPr>
        <w:jc w:val="center"/>
        <w:rPr>
          <w:i/>
          <w:iCs/>
        </w:rPr>
      </w:pPr>
      <w:r w:rsidRPr="00E86BE9">
        <w:rPr>
          <w:rFonts w:ascii="Times New Roman" w:eastAsia="宋体" w:hAnsi="Times New Roman" w:cs="Times New Roman"/>
          <w:kern w:val="0"/>
          <w:szCs w:val="21"/>
          <w:lang w:bidi="ar"/>
        </w:rPr>
        <w:t xml:space="preserve"> </w:t>
      </w:r>
      <w:r w:rsidRPr="0065036F">
        <w:rPr>
          <w:rFonts w:ascii="Times New Roman" w:eastAsia="宋体" w:hAnsi="Times New Roman" w:cs="Times New Roman"/>
          <w:i/>
          <w:iCs/>
          <w:kern w:val="0"/>
          <w:szCs w:val="21"/>
          <w:lang w:bidi="ar"/>
        </w:rPr>
        <w:t>LA-ICP-MS operating conditions</w:t>
      </w:r>
    </w:p>
    <w:tbl>
      <w:tblPr>
        <w:tblW w:w="5000" w:type="pct"/>
        <w:tblCellMar>
          <w:left w:w="0" w:type="dxa"/>
          <w:right w:w="0" w:type="dxa"/>
        </w:tblCellMar>
        <w:tblLook w:val="04A0" w:firstRow="1" w:lastRow="0" w:firstColumn="1" w:lastColumn="0" w:noHBand="0" w:noVBand="1"/>
      </w:tblPr>
      <w:tblGrid>
        <w:gridCol w:w="3583"/>
        <w:gridCol w:w="4747"/>
      </w:tblGrid>
      <w:tr w:rsidR="00E86BE9" w:rsidRPr="00E86BE9" w14:paraId="1CE6743E" w14:textId="77777777">
        <w:trPr>
          <w:trHeight w:val="91"/>
        </w:trPr>
        <w:tc>
          <w:tcPr>
            <w:tcW w:w="2150" w:type="pct"/>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bottom"/>
          </w:tcPr>
          <w:p w14:paraId="7786A81D" w14:textId="77777777" w:rsidR="008E5C9D" w:rsidRPr="00E86BE9" w:rsidRDefault="00996D18">
            <w:pPr>
              <w:widowControl/>
              <w:adjustRightInd w:val="0"/>
              <w:snapToGrid w:val="0"/>
              <w:jc w:val="left"/>
              <w:textAlignment w:val="bottom"/>
              <w:rPr>
                <w:rFonts w:ascii="Times New Roman" w:eastAsia="宋体" w:hAnsi="Times New Roman" w:cs="Times New Roman"/>
                <w:b/>
                <w:szCs w:val="21"/>
              </w:rPr>
            </w:pPr>
            <w:r w:rsidRPr="00E86BE9">
              <w:rPr>
                <w:rFonts w:ascii="Times New Roman" w:eastAsia="宋体" w:hAnsi="Times New Roman" w:cs="Times New Roman"/>
                <w:b/>
                <w:kern w:val="0"/>
                <w:szCs w:val="21"/>
                <w:lang w:bidi="ar"/>
              </w:rPr>
              <w:t>Laboratory &amp; Sample Preparation</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EC5786" w14:textId="77777777" w:rsidR="008E5C9D" w:rsidRPr="00E86BE9" w:rsidRDefault="008E5C9D">
            <w:pPr>
              <w:widowControl/>
              <w:adjustRightInd w:val="0"/>
              <w:snapToGrid w:val="0"/>
              <w:rPr>
                <w:rFonts w:ascii="Times New Roman" w:eastAsia="宋体" w:hAnsi="Times New Roman" w:cs="Times New Roman"/>
                <w:szCs w:val="21"/>
              </w:rPr>
            </w:pPr>
          </w:p>
        </w:tc>
      </w:tr>
      <w:tr w:rsidR="00E86BE9" w:rsidRPr="00E86BE9" w14:paraId="6E13D99C" w14:textId="77777777">
        <w:trPr>
          <w:trHeight w:val="90"/>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0629B7"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Laboratory name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7B3E5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Hangzhou Research Institution of Geology, CNPC</w:t>
            </w:r>
          </w:p>
        </w:tc>
      </w:tr>
      <w:tr w:rsidR="00E86BE9" w:rsidRPr="00E86BE9" w14:paraId="31293A3D" w14:textId="77777777">
        <w:trPr>
          <w:trHeight w:val="90"/>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902A7D"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Sample type/mineral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BAB7C7"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Carbonate </w:t>
            </w:r>
          </w:p>
        </w:tc>
      </w:tr>
      <w:tr w:rsidR="00E86BE9" w:rsidRPr="00E86BE9" w14:paraId="149772F9" w14:textId="77777777">
        <w:trPr>
          <w:trHeight w:val="166"/>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AC140C"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Sample preparation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89DAB1"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Fragments of rock with veins, 1'' epoxy mount or 50μm Thick sections</w:t>
            </w:r>
          </w:p>
        </w:tc>
      </w:tr>
      <w:tr w:rsidR="00E86BE9" w:rsidRPr="00E86BE9" w14:paraId="6EF8E1F3" w14:textId="77777777">
        <w:trPr>
          <w:trHeight w:val="198"/>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22768D"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Imaging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2ACC9F"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Reflected light image </w:t>
            </w:r>
          </w:p>
        </w:tc>
      </w:tr>
      <w:tr w:rsidR="00E86BE9" w:rsidRPr="00E86BE9" w14:paraId="705C2D60" w14:textId="77777777">
        <w:trPr>
          <w:trHeight w:val="144"/>
        </w:trPr>
        <w:tc>
          <w:tcPr>
            <w:tcW w:w="2150" w:type="pct"/>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bottom"/>
          </w:tcPr>
          <w:p w14:paraId="5D012096" w14:textId="77777777" w:rsidR="008E5C9D" w:rsidRPr="00E86BE9" w:rsidRDefault="00996D18">
            <w:pPr>
              <w:widowControl/>
              <w:adjustRightInd w:val="0"/>
              <w:snapToGrid w:val="0"/>
              <w:jc w:val="left"/>
              <w:textAlignment w:val="bottom"/>
              <w:rPr>
                <w:rFonts w:ascii="Times New Roman" w:eastAsia="宋体" w:hAnsi="Times New Roman" w:cs="Times New Roman"/>
                <w:b/>
                <w:szCs w:val="21"/>
              </w:rPr>
            </w:pPr>
            <w:r w:rsidRPr="00E86BE9">
              <w:rPr>
                <w:rFonts w:ascii="Times New Roman" w:eastAsia="宋体" w:hAnsi="Times New Roman" w:cs="Times New Roman"/>
                <w:b/>
                <w:kern w:val="0"/>
                <w:szCs w:val="21"/>
                <w:lang w:bidi="ar"/>
              </w:rPr>
              <w:t xml:space="preserve">Laser ablation system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4BF755" w14:textId="77777777" w:rsidR="008E5C9D" w:rsidRPr="00E86BE9" w:rsidRDefault="008E5C9D">
            <w:pPr>
              <w:widowControl/>
              <w:adjustRightInd w:val="0"/>
              <w:snapToGrid w:val="0"/>
              <w:rPr>
                <w:rFonts w:ascii="Times New Roman" w:eastAsia="宋体" w:hAnsi="Times New Roman" w:cs="Times New Roman"/>
                <w:szCs w:val="21"/>
              </w:rPr>
            </w:pPr>
          </w:p>
        </w:tc>
      </w:tr>
      <w:tr w:rsidR="00E86BE9" w:rsidRPr="00E86BE9" w14:paraId="62E981B9" w14:textId="77777777">
        <w:trPr>
          <w:trHeight w:val="144"/>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45B03E"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Make, Model &amp; type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86F172"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Coherent </w:t>
            </w:r>
            <w:proofErr w:type="spellStart"/>
            <w:r w:rsidRPr="00E86BE9">
              <w:rPr>
                <w:rFonts w:ascii="Times New Roman" w:eastAsia="宋体" w:hAnsi="Times New Roman" w:cs="Times New Roman"/>
                <w:kern w:val="0"/>
                <w:szCs w:val="21"/>
                <w:lang w:bidi="ar"/>
              </w:rPr>
              <w:t>GeoLas</w:t>
            </w:r>
            <w:proofErr w:type="spellEnd"/>
            <w:r w:rsidRPr="00E86BE9">
              <w:rPr>
                <w:rFonts w:ascii="Times New Roman" w:eastAsia="宋体" w:hAnsi="Times New Roman" w:cs="Times New Roman"/>
                <w:kern w:val="0"/>
                <w:szCs w:val="21"/>
                <w:lang w:bidi="ar"/>
              </w:rPr>
              <w:t xml:space="preserve"> HD </w:t>
            </w:r>
            <w:proofErr w:type="spellStart"/>
            <w:r w:rsidRPr="00E86BE9">
              <w:rPr>
                <w:rFonts w:ascii="Times New Roman" w:eastAsia="宋体" w:hAnsi="Times New Roman" w:cs="Times New Roman"/>
                <w:kern w:val="0"/>
                <w:szCs w:val="21"/>
                <w:lang w:bidi="ar"/>
              </w:rPr>
              <w:t>ArF</w:t>
            </w:r>
            <w:proofErr w:type="spellEnd"/>
          </w:p>
        </w:tc>
      </w:tr>
      <w:tr w:rsidR="00E86BE9" w:rsidRPr="00E86BE9" w14:paraId="14254FAD" w14:textId="77777777">
        <w:trPr>
          <w:trHeight w:val="209"/>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32271D8"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Ablation cell &amp; volume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764AED"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normal circle cell</w:t>
            </w:r>
          </w:p>
        </w:tc>
      </w:tr>
      <w:tr w:rsidR="00E86BE9" w:rsidRPr="00E86BE9" w14:paraId="7C44C5F1" w14:textId="77777777">
        <w:trPr>
          <w:trHeight w:val="177"/>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6E50B3"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Laser wavelength (nm)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1ACD5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193nm</w:t>
            </w:r>
          </w:p>
        </w:tc>
      </w:tr>
      <w:tr w:rsidR="00E86BE9" w:rsidRPr="00E86BE9" w14:paraId="5B25E37B" w14:textId="77777777">
        <w:trPr>
          <w:trHeight w:val="90"/>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6A9CFE"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Pulse width (ns)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15BDFA"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3 ns </w:t>
            </w:r>
          </w:p>
        </w:tc>
      </w:tr>
      <w:tr w:rsidR="00E86BE9" w:rsidRPr="00E86BE9" w14:paraId="2B0567E2" w14:textId="77777777">
        <w:trPr>
          <w:trHeight w:val="220"/>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94C059"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Fluence (J.cm‐2)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A3E7EF"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3 J/cm2</w:t>
            </w:r>
          </w:p>
        </w:tc>
      </w:tr>
      <w:tr w:rsidR="00E86BE9" w:rsidRPr="00E86BE9" w14:paraId="7FE9C82D" w14:textId="77777777">
        <w:trPr>
          <w:trHeight w:val="251"/>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6F1B74"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Repetition rate (Hz)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7CE1A9"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6 Hz</w:t>
            </w:r>
          </w:p>
        </w:tc>
      </w:tr>
      <w:tr w:rsidR="00E86BE9" w:rsidRPr="00E86BE9" w14:paraId="5936BA8C" w14:textId="77777777">
        <w:trPr>
          <w:trHeight w:val="198"/>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6B15C3F"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Spot size (um)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2CC2B7"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160μm </w:t>
            </w:r>
          </w:p>
        </w:tc>
      </w:tr>
      <w:tr w:rsidR="00E86BE9" w:rsidRPr="00E86BE9" w14:paraId="3820ED97" w14:textId="77777777">
        <w:trPr>
          <w:trHeight w:val="198"/>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9F856C"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Sampling mode / pattern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CE3DAD"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Static Spot </w:t>
            </w:r>
          </w:p>
        </w:tc>
      </w:tr>
      <w:tr w:rsidR="00E86BE9" w:rsidRPr="00E86BE9" w14:paraId="1BCAA45D" w14:textId="77777777">
        <w:trPr>
          <w:trHeight w:val="187"/>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47883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Ablation duration (secs)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42191F"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40 secs, 20 s washout, 20 s background between pulses</w:t>
            </w:r>
          </w:p>
        </w:tc>
      </w:tr>
      <w:tr w:rsidR="00E86BE9" w:rsidRPr="00E86BE9" w14:paraId="39F46C1C" w14:textId="77777777">
        <w:trPr>
          <w:trHeight w:val="219"/>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103F0E"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Cell carrier gas flow (l/min)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4FC990"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He (630ml/min), N2 (6ml/min)</w:t>
            </w:r>
          </w:p>
        </w:tc>
      </w:tr>
      <w:tr w:rsidR="00E86BE9" w:rsidRPr="00E86BE9" w14:paraId="79098060" w14:textId="77777777">
        <w:trPr>
          <w:trHeight w:val="155"/>
        </w:trPr>
        <w:tc>
          <w:tcPr>
            <w:tcW w:w="2150" w:type="pct"/>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bottom"/>
          </w:tcPr>
          <w:p w14:paraId="70E43CFE" w14:textId="77777777" w:rsidR="008E5C9D" w:rsidRPr="00E86BE9" w:rsidRDefault="00996D18">
            <w:pPr>
              <w:widowControl/>
              <w:adjustRightInd w:val="0"/>
              <w:snapToGrid w:val="0"/>
              <w:jc w:val="left"/>
              <w:textAlignment w:val="bottom"/>
              <w:rPr>
                <w:rFonts w:ascii="Times New Roman" w:eastAsia="宋体" w:hAnsi="Times New Roman" w:cs="Times New Roman"/>
                <w:b/>
                <w:szCs w:val="21"/>
              </w:rPr>
            </w:pPr>
            <w:r w:rsidRPr="00E86BE9">
              <w:rPr>
                <w:rFonts w:ascii="Times New Roman" w:eastAsia="宋体" w:hAnsi="Times New Roman" w:cs="Times New Roman"/>
                <w:b/>
                <w:kern w:val="0"/>
                <w:szCs w:val="21"/>
                <w:lang w:bidi="ar"/>
              </w:rPr>
              <w:lastRenderedPageBreak/>
              <w:t xml:space="preserve">ICP‐MS Instrument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4DFC5" w14:textId="77777777" w:rsidR="008E5C9D" w:rsidRPr="00E86BE9" w:rsidRDefault="008E5C9D">
            <w:pPr>
              <w:widowControl/>
              <w:adjustRightInd w:val="0"/>
              <w:snapToGrid w:val="0"/>
              <w:rPr>
                <w:rFonts w:ascii="Times New Roman" w:eastAsia="宋体" w:hAnsi="Times New Roman" w:cs="Times New Roman"/>
                <w:szCs w:val="21"/>
              </w:rPr>
            </w:pPr>
          </w:p>
        </w:tc>
      </w:tr>
      <w:tr w:rsidR="00E86BE9" w:rsidRPr="00E86BE9" w14:paraId="197C0294" w14:textId="77777777">
        <w:trPr>
          <w:trHeight w:val="155"/>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8ECDC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Make, Model &amp; type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79ECBF"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proofErr w:type="spellStart"/>
            <w:r w:rsidRPr="00E86BE9">
              <w:rPr>
                <w:rFonts w:ascii="Times New Roman" w:eastAsia="宋体" w:hAnsi="Times New Roman" w:cs="Times New Roman"/>
                <w:kern w:val="0"/>
                <w:szCs w:val="21"/>
                <w:lang w:bidi="ar"/>
              </w:rPr>
              <w:t>ThermoFisher</w:t>
            </w:r>
            <w:proofErr w:type="spellEnd"/>
            <w:r w:rsidRPr="00E86BE9">
              <w:rPr>
                <w:rFonts w:ascii="Times New Roman" w:eastAsia="宋体" w:hAnsi="Times New Roman" w:cs="Times New Roman"/>
                <w:kern w:val="0"/>
                <w:szCs w:val="21"/>
                <w:lang w:bidi="ar"/>
              </w:rPr>
              <w:t xml:space="preserve"> Element XR</w:t>
            </w:r>
          </w:p>
        </w:tc>
      </w:tr>
      <w:tr w:rsidR="00E86BE9" w:rsidRPr="00E86BE9" w14:paraId="4079CCAA" w14:textId="77777777">
        <w:trPr>
          <w:trHeight w:val="102"/>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7B9B2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Carrier gas flow rate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1FC8B53"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0.9 L/min </w:t>
            </w:r>
            <w:proofErr w:type="spellStart"/>
            <w:r w:rsidRPr="00E86BE9">
              <w:rPr>
                <w:rFonts w:ascii="Times New Roman" w:eastAsia="宋体" w:hAnsi="Times New Roman" w:cs="Times New Roman"/>
                <w:kern w:val="0"/>
                <w:szCs w:val="21"/>
                <w:lang w:bidi="ar"/>
              </w:rPr>
              <w:t>Ar</w:t>
            </w:r>
            <w:proofErr w:type="spellEnd"/>
            <w:r w:rsidRPr="00E86BE9">
              <w:rPr>
                <w:rFonts w:ascii="Times New Roman" w:eastAsia="宋体" w:hAnsi="Times New Roman" w:cs="Times New Roman"/>
                <w:kern w:val="0"/>
                <w:szCs w:val="21"/>
                <w:lang w:bidi="ar"/>
              </w:rPr>
              <w:t xml:space="preserve"> </w:t>
            </w:r>
          </w:p>
        </w:tc>
      </w:tr>
      <w:tr w:rsidR="00E86BE9" w:rsidRPr="00E86BE9" w14:paraId="7089F27E" w14:textId="77777777">
        <w:trPr>
          <w:trHeight w:val="240"/>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AD639C"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proofErr w:type="spellStart"/>
            <w:r w:rsidRPr="00E86BE9">
              <w:rPr>
                <w:rFonts w:ascii="Times New Roman" w:eastAsia="宋体" w:hAnsi="Times New Roman" w:cs="Times New Roman"/>
                <w:kern w:val="0"/>
                <w:szCs w:val="21"/>
                <w:lang w:bidi="ar"/>
              </w:rPr>
              <w:t>Auxilary</w:t>
            </w:r>
            <w:proofErr w:type="spellEnd"/>
            <w:r w:rsidRPr="00E86BE9">
              <w:rPr>
                <w:rFonts w:ascii="Times New Roman" w:eastAsia="宋体" w:hAnsi="Times New Roman" w:cs="Times New Roman"/>
                <w:kern w:val="0"/>
                <w:szCs w:val="21"/>
                <w:lang w:bidi="ar"/>
              </w:rPr>
              <w:t xml:space="preserve"> gas flow rate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D326F2"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0.8 L/min </w:t>
            </w:r>
            <w:proofErr w:type="spellStart"/>
            <w:r w:rsidRPr="00E86BE9">
              <w:rPr>
                <w:rFonts w:ascii="Times New Roman" w:eastAsia="宋体" w:hAnsi="Times New Roman" w:cs="Times New Roman"/>
                <w:kern w:val="0"/>
                <w:szCs w:val="21"/>
                <w:lang w:bidi="ar"/>
              </w:rPr>
              <w:t>Ar</w:t>
            </w:r>
            <w:proofErr w:type="spellEnd"/>
          </w:p>
        </w:tc>
      </w:tr>
      <w:tr w:rsidR="00E86BE9" w:rsidRPr="00E86BE9" w14:paraId="4DF4D0B1" w14:textId="77777777">
        <w:trPr>
          <w:trHeight w:val="165"/>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28D125"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RF power (W)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EC5E91"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1200 W</w:t>
            </w:r>
          </w:p>
        </w:tc>
      </w:tr>
      <w:tr w:rsidR="00E86BE9" w:rsidRPr="00E86BE9" w14:paraId="36FB2617" w14:textId="77777777">
        <w:trPr>
          <w:trHeight w:val="166"/>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F7056B"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Detection system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97C205"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Ion counter</w:t>
            </w:r>
          </w:p>
        </w:tc>
      </w:tr>
      <w:tr w:rsidR="00E86BE9" w:rsidRPr="00E86BE9" w14:paraId="3D8359A7" w14:textId="77777777">
        <w:trPr>
          <w:trHeight w:val="209"/>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F105F6"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Masses measured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7EA4C1"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206Pb, 207Pb, 208Pb, 232Th, 238U </w:t>
            </w:r>
          </w:p>
        </w:tc>
      </w:tr>
      <w:tr w:rsidR="00E86BE9" w:rsidRPr="00E86BE9" w14:paraId="2EEF5CA2" w14:textId="77777777">
        <w:trPr>
          <w:trHeight w:val="241"/>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1337D4"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Integration time per peak (</w:t>
            </w:r>
            <w:proofErr w:type="spellStart"/>
            <w:r w:rsidRPr="00E86BE9">
              <w:rPr>
                <w:rFonts w:ascii="Times New Roman" w:eastAsia="宋体" w:hAnsi="Times New Roman" w:cs="Times New Roman"/>
                <w:kern w:val="0"/>
                <w:szCs w:val="21"/>
                <w:lang w:bidi="ar"/>
              </w:rPr>
              <w:t>ms</w:t>
            </w:r>
            <w:proofErr w:type="spellEnd"/>
            <w:r w:rsidRPr="00E86BE9">
              <w:rPr>
                <w:rFonts w:ascii="Times New Roman" w:eastAsia="宋体" w:hAnsi="Times New Roman" w:cs="Times New Roman"/>
                <w:kern w:val="0"/>
                <w:szCs w:val="21"/>
                <w:lang w:bidi="ar"/>
              </w:rPr>
              <w:t xml:space="preserve">)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51A9E4"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10-15ms </w:t>
            </w:r>
          </w:p>
        </w:tc>
      </w:tr>
      <w:tr w:rsidR="00E86BE9" w:rsidRPr="00E86BE9" w14:paraId="297A60A9" w14:textId="77777777">
        <w:trPr>
          <w:trHeight w:val="90"/>
        </w:trPr>
        <w:tc>
          <w:tcPr>
            <w:tcW w:w="2150" w:type="pct"/>
            <w:tcBorders>
              <w:top w:val="single" w:sz="4" w:space="0" w:color="000000"/>
              <w:left w:val="single" w:sz="4" w:space="0" w:color="000000"/>
              <w:bottom w:val="single" w:sz="4" w:space="0" w:color="000000"/>
              <w:right w:val="single" w:sz="4" w:space="0" w:color="000000"/>
            </w:tcBorders>
            <w:shd w:val="clear" w:color="auto" w:fill="D9D9D9"/>
            <w:noWrap/>
            <w:tcMar>
              <w:top w:w="15" w:type="dxa"/>
              <w:left w:w="15" w:type="dxa"/>
              <w:right w:w="15" w:type="dxa"/>
            </w:tcMar>
            <w:vAlign w:val="bottom"/>
          </w:tcPr>
          <w:p w14:paraId="2FC16D4C" w14:textId="77777777" w:rsidR="008E5C9D" w:rsidRPr="00E86BE9" w:rsidRDefault="00996D18">
            <w:pPr>
              <w:widowControl/>
              <w:adjustRightInd w:val="0"/>
              <w:snapToGrid w:val="0"/>
              <w:jc w:val="left"/>
              <w:textAlignment w:val="bottom"/>
              <w:rPr>
                <w:rFonts w:ascii="Times New Roman" w:eastAsia="宋体" w:hAnsi="Times New Roman" w:cs="Times New Roman"/>
                <w:b/>
                <w:szCs w:val="21"/>
              </w:rPr>
            </w:pPr>
            <w:r w:rsidRPr="00E86BE9">
              <w:rPr>
                <w:rFonts w:ascii="Times New Roman" w:eastAsia="宋体" w:hAnsi="Times New Roman" w:cs="Times New Roman"/>
                <w:b/>
                <w:kern w:val="0"/>
                <w:szCs w:val="21"/>
                <w:lang w:bidi="ar"/>
              </w:rPr>
              <w:t xml:space="preserve">Data Processing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8ACA29" w14:textId="77777777" w:rsidR="008E5C9D" w:rsidRPr="00E86BE9" w:rsidRDefault="008E5C9D">
            <w:pPr>
              <w:widowControl/>
              <w:adjustRightInd w:val="0"/>
              <w:snapToGrid w:val="0"/>
              <w:rPr>
                <w:rFonts w:ascii="Times New Roman" w:eastAsia="宋体" w:hAnsi="Times New Roman" w:cs="Times New Roman"/>
                <w:szCs w:val="21"/>
              </w:rPr>
            </w:pPr>
          </w:p>
        </w:tc>
      </w:tr>
      <w:tr w:rsidR="00E86BE9" w:rsidRPr="00E86BE9" w14:paraId="48CBAF12" w14:textId="77777777">
        <w:trPr>
          <w:trHeight w:val="123"/>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DAFE19"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Gas blank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52E298"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20 second on‐peak zero subtracted</w:t>
            </w:r>
          </w:p>
        </w:tc>
      </w:tr>
      <w:tr w:rsidR="00E86BE9" w:rsidRPr="00E86BE9" w14:paraId="3DF67A73" w14:textId="77777777">
        <w:trPr>
          <w:trHeight w:val="176"/>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0814D0"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Calibration strategy </w:t>
            </w:r>
          </w:p>
        </w:tc>
        <w:tc>
          <w:tcPr>
            <w:tcW w:w="284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135025"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NIST614 for Pb-Pb, WC-1 for Pb-U </w:t>
            </w:r>
          </w:p>
        </w:tc>
      </w:tr>
      <w:tr w:rsidR="00E86BE9" w:rsidRPr="00E86BE9" w14:paraId="05876400" w14:textId="77777777">
        <w:trPr>
          <w:trHeight w:val="584"/>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3C473E8"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Reference Material info </w:t>
            </w:r>
          </w:p>
        </w:tc>
        <w:tc>
          <w:tcPr>
            <w:tcW w:w="28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129F54DD"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SRM614 glass and 254.4 ± 6.4 Ma WC‐1 for final Pb/U calibration, 209.8±1.3Ma AHX-1 calcite for quality control</w:t>
            </w:r>
          </w:p>
        </w:tc>
      </w:tr>
      <w:tr w:rsidR="00E86BE9" w:rsidRPr="00E86BE9" w14:paraId="732EC6EE" w14:textId="77777777">
        <w:trPr>
          <w:trHeight w:val="648"/>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1412F1"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Data processing package used / Correction for LIEF</w:t>
            </w:r>
          </w:p>
        </w:tc>
        <w:tc>
          <w:tcPr>
            <w:tcW w:w="28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3B277135"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Iolite© 3.65software, using the 'Linear spline' to correct for downhole fractionation and the 'Automatic spline' to correct for instrumental drift</w:t>
            </w:r>
          </w:p>
        </w:tc>
      </w:tr>
      <w:tr w:rsidR="00E86BE9" w:rsidRPr="00E86BE9" w14:paraId="77715581" w14:textId="77777777">
        <w:trPr>
          <w:trHeight w:val="187"/>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92A001"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Common‐Pb correction, composition and uncertainty </w:t>
            </w:r>
          </w:p>
        </w:tc>
        <w:tc>
          <w:tcPr>
            <w:tcW w:w="28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681136D4"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Unanchored (model 1) regressions in Tera-</w:t>
            </w:r>
            <w:proofErr w:type="spellStart"/>
            <w:r w:rsidRPr="00E86BE9">
              <w:rPr>
                <w:rFonts w:ascii="Times New Roman" w:eastAsia="宋体" w:hAnsi="Times New Roman" w:cs="Times New Roman"/>
                <w:kern w:val="0"/>
                <w:szCs w:val="21"/>
                <w:lang w:bidi="ar"/>
              </w:rPr>
              <w:t>Wasserburg</w:t>
            </w:r>
            <w:proofErr w:type="spellEnd"/>
            <w:r w:rsidRPr="00E86BE9">
              <w:rPr>
                <w:rFonts w:ascii="Times New Roman" w:eastAsia="宋体" w:hAnsi="Times New Roman" w:cs="Times New Roman"/>
                <w:kern w:val="0"/>
                <w:szCs w:val="21"/>
                <w:lang w:bidi="ar"/>
              </w:rPr>
              <w:t xml:space="preserve"> (Semi Total-Pb) plots </w:t>
            </w:r>
          </w:p>
        </w:tc>
      </w:tr>
      <w:tr w:rsidR="008E5C9D" w:rsidRPr="00E86BE9" w14:paraId="4C857675" w14:textId="77777777">
        <w:trPr>
          <w:trHeight w:val="283"/>
        </w:trPr>
        <w:tc>
          <w:tcPr>
            <w:tcW w:w="215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EA24AE" w14:textId="77777777"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Uncertainty level &amp; propagation </w:t>
            </w:r>
          </w:p>
        </w:tc>
        <w:tc>
          <w:tcPr>
            <w:tcW w:w="28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1E8E19EE" w14:textId="14BA16CA" w:rsidR="008E5C9D" w:rsidRPr="00E86BE9" w:rsidRDefault="00996D18">
            <w:pPr>
              <w:widowControl/>
              <w:adjustRightInd w:val="0"/>
              <w:snapToGrid w:val="0"/>
              <w:jc w:val="left"/>
              <w:textAlignment w:val="bottom"/>
              <w:rPr>
                <w:rFonts w:ascii="Times New Roman" w:eastAsia="宋体" w:hAnsi="Times New Roman" w:cs="Times New Roman"/>
                <w:szCs w:val="21"/>
              </w:rPr>
            </w:pPr>
            <w:r w:rsidRPr="00E86BE9">
              <w:rPr>
                <w:rFonts w:ascii="Times New Roman" w:eastAsia="宋体" w:hAnsi="Times New Roman" w:cs="Times New Roman"/>
                <w:kern w:val="0"/>
                <w:szCs w:val="21"/>
                <w:lang w:bidi="ar"/>
              </w:rPr>
              <w:t xml:space="preserve">Ages in the data table are quoted at 2s absolute and include systematic uncertainties, uncertainties of standard </w:t>
            </w:r>
            <w:r w:rsidR="0065036F" w:rsidRPr="00E86BE9">
              <w:rPr>
                <w:rFonts w:ascii="Times New Roman" w:eastAsia="宋体" w:hAnsi="Times New Roman" w:cs="Times New Roman"/>
                <w:kern w:val="0"/>
                <w:szCs w:val="21"/>
                <w:lang w:bidi="ar"/>
              </w:rPr>
              <w:t>were</w:t>
            </w:r>
            <w:r w:rsidRPr="00E86BE9">
              <w:rPr>
                <w:rFonts w:ascii="Times New Roman" w:eastAsia="宋体" w:hAnsi="Times New Roman" w:cs="Times New Roman"/>
                <w:kern w:val="0"/>
                <w:szCs w:val="21"/>
                <w:lang w:bidi="ar"/>
              </w:rPr>
              <w:t xml:space="preserve"> not propagated to the analysis</w:t>
            </w:r>
          </w:p>
        </w:tc>
      </w:tr>
    </w:tbl>
    <w:p w14:paraId="1F2281DA" w14:textId="77777777" w:rsidR="0065036F" w:rsidRDefault="0065036F" w:rsidP="0065036F">
      <w:pPr>
        <w:widowControl/>
        <w:autoSpaceDE w:val="0"/>
        <w:autoSpaceDN w:val="0"/>
        <w:adjustRightInd w:val="0"/>
        <w:rPr>
          <w:rFonts w:ascii="Times New Roman" w:hAnsi="Times New Roman" w:cs="Times New Roman"/>
          <w:b/>
          <w:bCs/>
          <w:lang w:bidi="he-IL"/>
        </w:rPr>
      </w:pPr>
    </w:p>
    <w:p w14:paraId="2D66B3D2" w14:textId="79906838" w:rsidR="008E5C9D" w:rsidRPr="0065036F" w:rsidRDefault="00996D18" w:rsidP="0065036F">
      <w:pPr>
        <w:pStyle w:val="ab"/>
        <w:widowControl/>
        <w:numPr>
          <w:ilvl w:val="0"/>
          <w:numId w:val="1"/>
        </w:numPr>
        <w:autoSpaceDE w:val="0"/>
        <w:autoSpaceDN w:val="0"/>
        <w:adjustRightInd w:val="0"/>
        <w:ind w:firstLineChars="0"/>
        <w:jc w:val="center"/>
        <w:rPr>
          <w:rFonts w:ascii="Times New Roman" w:hAnsi="Times New Roman" w:cs="Times New Roman"/>
          <w:b/>
          <w:bCs/>
          <w:kern w:val="0"/>
          <w:szCs w:val="21"/>
          <w:lang w:bidi="he-IL"/>
        </w:rPr>
      </w:pPr>
      <w:r w:rsidRPr="0065036F">
        <w:rPr>
          <w:rFonts w:ascii="Times New Roman" w:hAnsi="Times New Roman" w:cs="Times New Roman" w:hint="eastAsia"/>
          <w:b/>
          <w:bCs/>
          <w:kern w:val="0"/>
          <w:szCs w:val="21"/>
          <w:lang w:bidi="he-IL"/>
        </w:rPr>
        <w:t>Clumped isotopes</w:t>
      </w:r>
    </w:p>
    <w:p w14:paraId="580D3EFA" w14:textId="77777777" w:rsidR="008E5C9D" w:rsidRPr="00E86BE9" w:rsidRDefault="00996D18" w:rsidP="0065036F">
      <w:pPr>
        <w:widowControl/>
        <w:autoSpaceDE w:val="0"/>
        <w:autoSpaceDN w:val="0"/>
        <w:adjustRightInd w:val="0"/>
        <w:spacing w:line="360" w:lineRule="auto"/>
        <w:rPr>
          <w:rFonts w:ascii="Times New Roman" w:hAnsi="Times New Roman" w:cs="Times New Roman"/>
          <w:kern w:val="0"/>
          <w:szCs w:val="21"/>
        </w:rPr>
      </w:pPr>
      <w:r w:rsidRPr="00E86BE9">
        <w:rPr>
          <w:rFonts w:ascii="Times New Roman" w:hAnsi="Times New Roman" w:cs="Times New Roman"/>
          <w:kern w:val="0"/>
          <w:szCs w:val="21"/>
          <w:lang w:bidi="he-IL"/>
        </w:rPr>
        <w:t>Clumped isotopes</w:t>
      </w:r>
      <w:r w:rsidRPr="00E86BE9">
        <w:rPr>
          <w:rFonts w:ascii="Times New Roman" w:hAnsi="Times New Roman" w:cs="Times New Roman" w:hint="eastAsia"/>
          <w:kern w:val="0"/>
          <w:szCs w:val="21"/>
          <w:lang w:bidi="he-IL"/>
        </w:rPr>
        <w:t xml:space="preserve"> were </w:t>
      </w:r>
      <w:r w:rsidRPr="00E86BE9">
        <w:rPr>
          <w:rFonts w:ascii="Times New Roman" w:hAnsi="Times New Roman" w:cs="Times New Roman"/>
          <w:kern w:val="0"/>
          <w:szCs w:val="21"/>
          <w:lang w:bidi="he-IL"/>
        </w:rPr>
        <w:t>measure</w:t>
      </w:r>
      <w:r w:rsidRPr="00E86BE9">
        <w:rPr>
          <w:rFonts w:ascii="Times New Roman" w:hAnsi="Times New Roman" w:cs="Times New Roman" w:hint="eastAsia"/>
          <w:kern w:val="0"/>
          <w:szCs w:val="21"/>
          <w:lang w:bidi="he-IL"/>
        </w:rPr>
        <w:t>d</w:t>
      </w:r>
      <w:r w:rsidRPr="00E86BE9">
        <w:rPr>
          <w:rFonts w:ascii="Times New Roman" w:hAnsi="Times New Roman" w:cs="Times New Roman"/>
          <w:kern w:val="0"/>
          <w:szCs w:val="21"/>
          <w:lang w:bidi="he-IL"/>
        </w:rPr>
        <w:t xml:space="preserve"> </w:t>
      </w:r>
      <w:r w:rsidR="00826ED8" w:rsidRPr="00E86BE9">
        <w:rPr>
          <w:rFonts w:ascii="Times New Roman" w:hAnsi="Times New Roman" w:cs="Times New Roman" w:hint="eastAsia"/>
          <w:kern w:val="0"/>
          <w:szCs w:val="21"/>
          <w:lang w:bidi="he-IL"/>
        </w:rPr>
        <w:t xml:space="preserve">firstly </w:t>
      </w:r>
      <w:r w:rsidRPr="00E86BE9">
        <w:rPr>
          <w:rFonts w:ascii="Times New Roman" w:hAnsi="Times New Roman" w:cs="Times New Roman"/>
          <w:kern w:val="0"/>
          <w:szCs w:val="21"/>
          <w:lang w:bidi="he-IL"/>
        </w:rPr>
        <w:t xml:space="preserve">in </w:t>
      </w:r>
      <w:r w:rsidR="00B93053" w:rsidRPr="00E86BE9">
        <w:rPr>
          <w:rFonts w:ascii="Times New Roman" w:hAnsi="Times New Roman" w:cs="Times New Roman"/>
          <w:kern w:val="0"/>
          <w:szCs w:val="21"/>
          <w:lang w:bidi="he-IL"/>
        </w:rPr>
        <w:t>the laboratory</w:t>
      </w:r>
      <w:r w:rsidR="00B93053" w:rsidRPr="00E86BE9">
        <w:rPr>
          <w:rFonts w:ascii="Times New Roman" w:hAnsi="Times New Roman" w:cs="Times New Roman" w:hint="eastAsia"/>
          <w:kern w:val="0"/>
          <w:szCs w:val="21"/>
          <w:lang w:bidi="he-IL"/>
        </w:rPr>
        <w:t xml:space="preserve"> </w:t>
      </w:r>
      <w:r w:rsidR="00B93053" w:rsidRPr="00E86BE9">
        <w:rPr>
          <w:rFonts w:ascii="Times New Roman" w:hAnsi="Times New Roman" w:cs="Times New Roman"/>
          <w:kern w:val="0"/>
          <w:szCs w:val="21"/>
          <w:lang w:bidi="he-IL"/>
        </w:rPr>
        <w:t xml:space="preserve">at </w:t>
      </w:r>
      <w:r w:rsidR="00B93053" w:rsidRPr="00E86BE9">
        <w:rPr>
          <w:rFonts w:ascii="Times New Roman" w:hAnsi="Times New Roman" w:cs="Times New Roman" w:hint="eastAsia"/>
          <w:kern w:val="0"/>
          <w:szCs w:val="21"/>
          <w:lang w:bidi="he-IL"/>
        </w:rPr>
        <w:t xml:space="preserve">the Department of Earth and Space Sciences, </w:t>
      </w:r>
      <w:r w:rsidR="00B93053" w:rsidRPr="00E86BE9">
        <w:rPr>
          <w:rFonts w:ascii="Times New Roman" w:hAnsi="Times New Roman" w:cs="Times New Roman"/>
          <w:kern w:val="0"/>
          <w:szCs w:val="21"/>
          <w:lang w:bidi="he-IL"/>
        </w:rPr>
        <w:t>University of California, Los Angeles</w:t>
      </w:r>
      <w:r w:rsidR="00B93053" w:rsidRPr="00E86BE9">
        <w:rPr>
          <w:rFonts w:ascii="Times New Roman" w:hAnsi="Times New Roman" w:cs="Times New Roman" w:hint="eastAsia"/>
          <w:kern w:val="0"/>
          <w:szCs w:val="21"/>
          <w:lang w:bidi="he-IL"/>
        </w:rPr>
        <w:t>,</w:t>
      </w:r>
      <w:r w:rsidR="00826ED8" w:rsidRPr="00E86BE9">
        <w:rPr>
          <w:rFonts w:ascii="Times New Roman" w:hAnsi="Times New Roman" w:cs="Times New Roman" w:hint="eastAsia"/>
          <w:kern w:val="0"/>
          <w:szCs w:val="21"/>
          <w:lang w:bidi="he-IL"/>
        </w:rPr>
        <w:t xml:space="preserve"> and then in CNPC Key Laboratory of Carbonate Reservoir, Hangzhou,</w:t>
      </w:r>
      <w:r w:rsidRPr="00E86BE9">
        <w:rPr>
          <w:rFonts w:ascii="Times New Roman" w:hAnsi="Times New Roman" w:cs="Times New Roman"/>
          <w:kern w:val="0"/>
          <w:szCs w:val="21"/>
          <w:lang w:bidi="he-IL"/>
        </w:rPr>
        <w:t xml:space="preserve"> following </w:t>
      </w:r>
      <w:r w:rsidRPr="00E86BE9">
        <w:rPr>
          <w:rFonts w:ascii="Times New Roman" w:hAnsi="Times New Roman" w:cs="Times New Roman" w:hint="eastAsia"/>
          <w:kern w:val="0"/>
          <w:szCs w:val="21"/>
          <w:lang w:bidi="he-IL"/>
        </w:rPr>
        <w:t xml:space="preserve">the </w:t>
      </w:r>
      <w:r w:rsidRPr="00E86BE9">
        <w:rPr>
          <w:rFonts w:ascii="Times New Roman" w:hAnsi="Times New Roman" w:cs="Times New Roman"/>
          <w:kern w:val="0"/>
          <w:szCs w:val="21"/>
          <w:lang w:bidi="he-IL"/>
        </w:rPr>
        <w:t>procedure</w:t>
      </w:r>
      <w:r w:rsidRPr="00E86BE9">
        <w:rPr>
          <w:rFonts w:ascii="Times New Roman" w:hAnsi="Times New Roman" w:cs="Times New Roman" w:hint="eastAsia"/>
          <w:kern w:val="0"/>
          <w:szCs w:val="21"/>
          <w:lang w:bidi="he-IL"/>
        </w:rPr>
        <w:t xml:space="preserve"> </w:t>
      </w:r>
      <w:r w:rsidRPr="00E86BE9">
        <w:rPr>
          <w:rFonts w:ascii="Times New Roman" w:hAnsi="Times New Roman" w:cs="Times New Roman"/>
          <w:kern w:val="0"/>
          <w:szCs w:val="21"/>
          <w:lang w:bidi="he-IL"/>
        </w:rPr>
        <w:t xml:space="preserve">described by </w:t>
      </w:r>
      <w:proofErr w:type="spellStart"/>
      <w:r w:rsidRPr="00E86BE9">
        <w:rPr>
          <w:rFonts w:ascii="Times New Roman" w:hAnsi="Times New Roman" w:cs="Times New Roman"/>
          <w:kern w:val="0"/>
          <w:szCs w:val="21"/>
          <w:lang w:bidi="he-IL"/>
        </w:rPr>
        <w:t>Loyd</w:t>
      </w:r>
      <w:proofErr w:type="spellEnd"/>
      <w:r w:rsidRPr="00E86BE9">
        <w:rPr>
          <w:rFonts w:ascii="Times New Roman" w:hAnsi="Times New Roman" w:cs="Times New Roman"/>
          <w:kern w:val="0"/>
          <w:szCs w:val="21"/>
          <w:lang w:bidi="he-IL"/>
        </w:rPr>
        <w:t xml:space="preserve"> et al. (2013). About 10 mg sample powers were digested in phosphoric acid</w:t>
      </w:r>
      <w:r w:rsidRPr="00E86BE9">
        <w:rPr>
          <w:rFonts w:ascii="Times New Roman" w:hAnsi="Times New Roman" w:cs="Times New Roman" w:hint="eastAsia"/>
          <w:kern w:val="0"/>
          <w:szCs w:val="21"/>
          <w:lang w:bidi="he-IL"/>
        </w:rPr>
        <w:t xml:space="preserve"> (density=1.92 g/ml)</w:t>
      </w:r>
      <w:r w:rsidRPr="00E86BE9">
        <w:rPr>
          <w:rFonts w:ascii="Times New Roman" w:hAnsi="Times New Roman" w:cs="Times New Roman"/>
          <w:kern w:val="0"/>
          <w:szCs w:val="21"/>
          <w:lang w:bidi="he-IL"/>
        </w:rPr>
        <w:t xml:space="preserve"> at 90</w:t>
      </w:r>
      <w:r w:rsidRPr="00E86BE9">
        <w:rPr>
          <w:rFonts w:ascii="Times New Roman" w:hAnsi="Times New Roman" w:cs="Times New Roman"/>
          <w:kern w:val="0"/>
          <w:szCs w:val="21"/>
        </w:rPr>
        <w:t xml:space="preserve"> °C for 20 min. </w:t>
      </w:r>
      <w:r w:rsidRPr="00E86BE9">
        <w:rPr>
          <w:rFonts w:ascii="Times New Roman" w:hAnsi="Times New Roman" w:cs="Times New Roman" w:hint="eastAsia"/>
          <w:kern w:val="0"/>
          <w:szCs w:val="21"/>
        </w:rPr>
        <w:t>T</w:t>
      </w:r>
      <w:r w:rsidRPr="00E86BE9">
        <w:rPr>
          <w:rFonts w:ascii="Times New Roman" w:hAnsi="Times New Roman" w:cs="Times New Roman"/>
          <w:kern w:val="0"/>
          <w:szCs w:val="21"/>
        </w:rPr>
        <w:t>he produced CO</w:t>
      </w:r>
      <w:r w:rsidRPr="00E86BE9">
        <w:rPr>
          <w:rFonts w:ascii="Times New Roman" w:hAnsi="Times New Roman" w:cs="Times New Roman"/>
          <w:kern w:val="0"/>
          <w:szCs w:val="21"/>
          <w:vertAlign w:val="subscript"/>
        </w:rPr>
        <w:t>2</w:t>
      </w:r>
      <w:r w:rsidRPr="00E86BE9">
        <w:rPr>
          <w:rFonts w:ascii="Times New Roman" w:hAnsi="Times New Roman" w:cs="Times New Roman"/>
          <w:kern w:val="0"/>
          <w:szCs w:val="21"/>
        </w:rPr>
        <w:t xml:space="preserve"> was successively passed through a </w:t>
      </w:r>
      <w:r w:rsidRPr="00E86BE9">
        <w:rPr>
          <w:rFonts w:ascii="Times New Roman" w:hAnsi="Times New Roman" w:cs="Times New Roman" w:hint="eastAsia"/>
          <w:kern w:val="0"/>
          <w:szCs w:val="21"/>
        </w:rPr>
        <w:t xml:space="preserve">metal trap immersed in </w:t>
      </w:r>
      <w:r w:rsidRPr="00E86BE9">
        <w:rPr>
          <w:rFonts w:ascii="Times New Roman" w:hAnsi="Times New Roman" w:cs="Times New Roman"/>
          <w:kern w:val="0"/>
          <w:szCs w:val="21"/>
        </w:rPr>
        <w:t>liquid N</w:t>
      </w:r>
      <w:r w:rsidRPr="00E86BE9">
        <w:rPr>
          <w:rFonts w:ascii="Times New Roman" w:hAnsi="Times New Roman" w:cs="Times New Roman"/>
          <w:kern w:val="0"/>
          <w:szCs w:val="21"/>
          <w:vertAlign w:val="subscript"/>
        </w:rPr>
        <w:t>2</w:t>
      </w:r>
      <w:r w:rsidRPr="00E86BE9">
        <w:rPr>
          <w:rFonts w:ascii="Times New Roman" w:hAnsi="Times New Roman" w:cs="Times New Roman" w:hint="eastAsia"/>
          <w:kern w:val="0"/>
          <w:szCs w:val="21"/>
        </w:rPr>
        <w:t xml:space="preserve"> and a glass water trap immersed in a </w:t>
      </w:r>
      <w:proofErr w:type="spellStart"/>
      <w:r w:rsidRPr="00E86BE9">
        <w:rPr>
          <w:rFonts w:ascii="Times New Roman" w:hAnsi="Times New Roman" w:cs="Times New Roman" w:hint="eastAsia"/>
          <w:kern w:val="0"/>
          <w:szCs w:val="21"/>
        </w:rPr>
        <w:t>dewar</w:t>
      </w:r>
      <w:proofErr w:type="spellEnd"/>
      <w:r w:rsidRPr="00E86BE9">
        <w:rPr>
          <w:rFonts w:ascii="Times New Roman" w:hAnsi="Times New Roman" w:cs="Times New Roman" w:hint="eastAsia"/>
          <w:kern w:val="0"/>
          <w:szCs w:val="21"/>
        </w:rPr>
        <w:t xml:space="preserve"> of </w:t>
      </w:r>
      <w:r w:rsidRPr="00E86BE9">
        <w:rPr>
          <w:rFonts w:ascii="Times New Roman" w:hAnsi="Times New Roman" w:cs="Times New Roman"/>
          <w:kern w:val="0"/>
          <w:szCs w:val="21"/>
        </w:rPr>
        <w:t>ethanol at</w:t>
      </w:r>
      <w:r w:rsidRPr="00E86BE9">
        <w:rPr>
          <w:rFonts w:ascii="Times New Roman" w:eastAsia="MS Mincho" w:hAnsi="Times New Roman" w:cs="Times New Roman"/>
          <w:kern w:val="0"/>
          <w:szCs w:val="21"/>
        </w:rPr>
        <w:t xml:space="preserve"> </w:t>
      </w:r>
      <w:r w:rsidRPr="00E86BE9">
        <w:rPr>
          <w:rFonts w:ascii="Times New Roman" w:hAnsi="Times New Roman" w:cs="Times New Roman"/>
          <w:kern w:val="0"/>
          <w:szCs w:val="21"/>
        </w:rPr>
        <w:t>70 °C</w:t>
      </w:r>
      <w:r w:rsidRPr="00E86BE9">
        <w:rPr>
          <w:rFonts w:ascii="Times New Roman" w:hAnsi="Times New Roman" w:cs="Times New Roman" w:hint="eastAsia"/>
          <w:kern w:val="0"/>
          <w:szCs w:val="21"/>
        </w:rPr>
        <w:t>. After two rounds of cryogenic purification to remove water</w:t>
      </w:r>
      <w:r w:rsidRPr="00E86BE9">
        <w:rPr>
          <w:rFonts w:ascii="Times New Roman" w:hAnsi="Times New Roman" w:cs="Times New Roman"/>
          <w:kern w:val="0"/>
          <w:szCs w:val="21"/>
        </w:rPr>
        <w:t>, CO</w:t>
      </w:r>
      <w:r w:rsidRPr="00E86BE9">
        <w:rPr>
          <w:rFonts w:ascii="Times New Roman" w:hAnsi="Times New Roman" w:cs="Times New Roman"/>
          <w:kern w:val="0"/>
          <w:szCs w:val="21"/>
          <w:vertAlign w:val="subscript"/>
        </w:rPr>
        <w:t>2</w:t>
      </w:r>
      <w:r w:rsidRPr="00E86BE9">
        <w:rPr>
          <w:rFonts w:ascii="Times New Roman" w:hAnsi="Times New Roman" w:cs="Times New Roman" w:hint="eastAsia"/>
          <w:kern w:val="0"/>
          <w:szCs w:val="21"/>
        </w:rPr>
        <w:t xml:space="preserve"> was then passed through </w:t>
      </w:r>
      <w:r w:rsidRPr="00E86BE9">
        <w:rPr>
          <w:rFonts w:ascii="Times New Roman" w:hAnsi="Times New Roman" w:cs="Times New Roman"/>
          <w:kern w:val="0"/>
          <w:szCs w:val="21"/>
        </w:rPr>
        <w:t xml:space="preserve">a gas chromatograph column </w:t>
      </w:r>
      <w:r w:rsidRPr="00E86BE9">
        <w:rPr>
          <w:rFonts w:ascii="Times New Roman" w:eastAsia="AdvTT5235d5a9+fb" w:hAnsi="Times New Roman" w:cs="Times New Roman"/>
          <w:kern w:val="0"/>
          <w:szCs w:val="21"/>
        </w:rPr>
        <w:t>fi</w:t>
      </w:r>
      <w:r w:rsidRPr="00E86BE9">
        <w:rPr>
          <w:rFonts w:ascii="Times New Roman" w:hAnsi="Times New Roman" w:cs="Times New Roman"/>
          <w:kern w:val="0"/>
          <w:szCs w:val="21"/>
        </w:rPr>
        <w:t xml:space="preserve">lled with </w:t>
      </w:r>
      <w:proofErr w:type="spellStart"/>
      <w:r w:rsidRPr="00E86BE9">
        <w:rPr>
          <w:rFonts w:ascii="Times New Roman" w:hAnsi="Times New Roman" w:cs="Times New Roman"/>
          <w:kern w:val="0"/>
          <w:szCs w:val="21"/>
        </w:rPr>
        <w:t>PoraPak</w:t>
      </w:r>
      <w:proofErr w:type="spellEnd"/>
      <w:r w:rsidRPr="00E86BE9">
        <w:rPr>
          <w:rFonts w:ascii="Times New Roman" w:hAnsi="Times New Roman" w:cs="Times New Roman"/>
          <w:kern w:val="0"/>
          <w:szCs w:val="21"/>
        </w:rPr>
        <w:t xml:space="preserve"> Q at 20 °C, and a silver foil trap. Then, the puri</w:t>
      </w:r>
      <w:r w:rsidRPr="00E86BE9">
        <w:rPr>
          <w:rFonts w:ascii="Times New Roman" w:eastAsia="AdvTT5235d5a9+fb" w:hAnsi="Times New Roman" w:cs="Times New Roman"/>
          <w:kern w:val="0"/>
          <w:szCs w:val="21"/>
        </w:rPr>
        <w:t>fi</w:t>
      </w:r>
      <w:r w:rsidRPr="00E86BE9">
        <w:rPr>
          <w:rFonts w:ascii="Times New Roman" w:hAnsi="Times New Roman" w:cs="Times New Roman"/>
          <w:kern w:val="0"/>
          <w:szCs w:val="21"/>
        </w:rPr>
        <w:t>ed CO</w:t>
      </w:r>
      <w:r w:rsidRPr="00E86BE9">
        <w:rPr>
          <w:rFonts w:ascii="Times New Roman" w:hAnsi="Times New Roman" w:cs="Times New Roman"/>
          <w:kern w:val="0"/>
          <w:szCs w:val="21"/>
          <w:vertAlign w:val="subscript"/>
        </w:rPr>
        <w:t>2</w:t>
      </w:r>
      <w:r w:rsidRPr="00E86BE9">
        <w:rPr>
          <w:rFonts w:ascii="Times New Roman" w:hAnsi="Times New Roman" w:cs="Times New Roman"/>
          <w:kern w:val="0"/>
          <w:szCs w:val="21"/>
        </w:rPr>
        <w:t xml:space="preserve"> was transferred to a </w:t>
      </w:r>
      <w:proofErr w:type="spellStart"/>
      <w:r w:rsidRPr="00E86BE9">
        <w:rPr>
          <w:rFonts w:ascii="Times New Roman" w:hAnsi="Times New Roman" w:cs="Times New Roman"/>
          <w:kern w:val="0"/>
          <w:szCs w:val="21"/>
        </w:rPr>
        <w:t>Thermo</w:t>
      </w:r>
      <w:proofErr w:type="spellEnd"/>
      <w:r w:rsidRPr="00E86BE9">
        <w:rPr>
          <w:rFonts w:ascii="Times New Roman" w:hAnsi="Times New Roman" w:cs="Times New Roman"/>
          <w:kern w:val="0"/>
          <w:szCs w:val="21"/>
        </w:rPr>
        <w:t xml:space="preserve"> Fi</w:t>
      </w:r>
      <w:r w:rsidRPr="00E86BE9">
        <w:rPr>
          <w:rFonts w:ascii="Times New Roman" w:hAnsi="Times New Roman" w:cs="Times New Roman" w:hint="eastAsia"/>
          <w:kern w:val="0"/>
          <w:szCs w:val="21"/>
        </w:rPr>
        <w:t>sher</w:t>
      </w:r>
      <w:r w:rsidRPr="00E86BE9">
        <w:rPr>
          <w:rFonts w:ascii="Times New Roman" w:hAnsi="Times New Roman" w:cs="Times New Roman"/>
          <w:kern w:val="0"/>
          <w:szCs w:val="21"/>
        </w:rPr>
        <w:t xml:space="preserve"> 253 gas-source mass spectrometer to collect masses 44</w:t>
      </w:r>
      <w:r w:rsidRPr="00E86BE9">
        <w:rPr>
          <w:rFonts w:ascii="Times New Roman" w:eastAsia="AdvTT5235d5a9+20" w:hAnsi="Times New Roman" w:cs="Times New Roman"/>
          <w:kern w:val="0"/>
          <w:szCs w:val="21"/>
        </w:rPr>
        <w:t>-</w:t>
      </w:r>
      <w:r w:rsidRPr="00E86BE9">
        <w:rPr>
          <w:rFonts w:ascii="Times New Roman" w:hAnsi="Times New Roman" w:cs="Times New Roman"/>
          <w:kern w:val="0"/>
          <w:szCs w:val="21"/>
        </w:rPr>
        <w:t xml:space="preserve">49.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rPr>
        <w:t>47 data are corrected for acid reaction temperature to normalize values to a 25 °C reaction temperature by applying an acid digestion correction of 0.08</w:t>
      </w:r>
      <w:r w:rsidRPr="00E86BE9">
        <w:rPr>
          <w:rFonts w:ascii="Times New Roman" w:eastAsia="AdvTT5235d5a9+20" w:hAnsi="Times New Roman" w:cs="Times New Roman"/>
          <w:kern w:val="0"/>
          <w:szCs w:val="21"/>
        </w:rPr>
        <w:t xml:space="preserve">‰ </w:t>
      </w:r>
      <w:r w:rsidRPr="00E86BE9">
        <w:rPr>
          <w:rFonts w:ascii="Times New Roman" w:hAnsi="Times New Roman" w:cs="Times New Roman"/>
          <w:kern w:val="0"/>
          <w:szCs w:val="21"/>
        </w:rPr>
        <w:t xml:space="preserve">to convert from 90 to 25 °C (Passey et al., 2010). </w:t>
      </w:r>
      <w:r w:rsidRPr="00E86BE9">
        <w:rPr>
          <w:rFonts w:ascii="Times New Roman" w:hAnsi="Times New Roman" w:cs="Times New Roman" w:hint="eastAsia"/>
          <w:kern w:val="0"/>
          <w:szCs w:val="21"/>
        </w:rPr>
        <w:t xml:space="preserve">The new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rPr>
        <w:t>47 data are reported on the absolute reference frame (ARF, also called CDES for Carbon Dioxide Equilibrated Scale; Dennis et al., 2011).</w:t>
      </w:r>
      <w:r w:rsidRPr="00E86BE9">
        <w:rPr>
          <w:rFonts w:ascii="Times New Roman" w:hAnsi="Times New Roman" w:cs="Times New Roman" w:hint="eastAsia"/>
          <w:kern w:val="0"/>
          <w:szCs w:val="21"/>
        </w:rPr>
        <w:t xml:space="preserve">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rPr>
        <w:t xml:space="preserve">47 data are converted to temperatures using the </w:t>
      </w:r>
      <w:r w:rsidRPr="00E86BE9">
        <w:rPr>
          <w:rFonts w:ascii="Times New Roman" w:hAnsi="Times New Roman" w:cs="Times New Roman" w:hint="eastAsia"/>
          <w:kern w:val="0"/>
          <w:szCs w:val="21"/>
        </w:rPr>
        <w:t xml:space="preserve">calibration established in </w:t>
      </w:r>
      <w:r w:rsidRPr="00E86BE9">
        <w:rPr>
          <w:rFonts w:ascii="Times New Roman" w:hAnsi="Times New Roman" w:cs="Times New Roman"/>
          <w:kern w:val="0"/>
          <w:szCs w:val="21"/>
        </w:rPr>
        <w:t>Ghosh et al. (2006)</w:t>
      </w:r>
      <w:r w:rsidRPr="00E86BE9">
        <w:rPr>
          <w:rFonts w:ascii="Times New Roman" w:hAnsi="Times New Roman" w:cs="Times New Roman" w:hint="eastAsia"/>
          <w:kern w:val="0"/>
          <w:szCs w:val="21"/>
        </w:rPr>
        <w:t xml:space="preserve"> modified for application to the absolute reference frame (</w:t>
      </w:r>
      <w:r w:rsidRPr="00E86BE9">
        <w:rPr>
          <w:rFonts w:ascii="Times New Roman" w:hAnsi="Times New Roman" w:cs="Times New Roman"/>
          <w:kern w:val="0"/>
          <w:szCs w:val="21"/>
        </w:rPr>
        <w:t>Dennis et al., 2011</w:t>
      </w:r>
      <w:r w:rsidRPr="00E86BE9">
        <w:rPr>
          <w:rFonts w:ascii="Times New Roman" w:hAnsi="Times New Roman" w:cs="Times New Roman" w:hint="eastAsia"/>
          <w:kern w:val="0"/>
          <w:szCs w:val="21"/>
        </w:rPr>
        <w:t>)</w:t>
      </w:r>
      <w:r w:rsidRPr="00E86BE9">
        <w:rPr>
          <w:rFonts w:ascii="Times New Roman" w:hAnsi="Times New Roman" w:cs="Times New Roman"/>
          <w:kern w:val="0"/>
          <w:szCs w:val="21"/>
        </w:rPr>
        <w:t xml:space="preserve">. Coupling the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rPr>
        <w:t xml:space="preserve">47 temperatures and the paired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vertAlign w:val="superscript"/>
        </w:rPr>
        <w:t>18</w:t>
      </w:r>
      <w:r w:rsidRPr="00E86BE9">
        <w:rPr>
          <w:rFonts w:ascii="Times New Roman" w:hAnsi="Times New Roman" w:cs="Times New Roman"/>
          <w:kern w:val="0"/>
          <w:szCs w:val="21"/>
        </w:rPr>
        <w:t>O</w:t>
      </w:r>
      <w:r w:rsidRPr="00E86BE9">
        <w:rPr>
          <w:rFonts w:ascii="Times New Roman" w:hAnsi="Times New Roman" w:cs="Times New Roman"/>
          <w:kern w:val="0"/>
          <w:szCs w:val="21"/>
          <w:vertAlign w:val="subscript"/>
        </w:rPr>
        <w:t>carb</w:t>
      </w:r>
      <w:r w:rsidRPr="00E86BE9">
        <w:rPr>
          <w:rFonts w:ascii="Times New Roman" w:hAnsi="Times New Roman" w:cs="Times New Roman"/>
          <w:kern w:val="0"/>
          <w:szCs w:val="21"/>
        </w:rPr>
        <w:t xml:space="preserve"> values, oxygen </w:t>
      </w:r>
      <w:r w:rsidRPr="00E86BE9">
        <w:rPr>
          <w:rFonts w:ascii="Times New Roman" w:hAnsi="Times New Roman" w:cs="Times New Roman"/>
          <w:kern w:val="0"/>
          <w:szCs w:val="21"/>
        </w:rPr>
        <w:lastRenderedPageBreak/>
        <w:t xml:space="preserve">isotopic compositions of parent </w:t>
      </w:r>
      <w:r w:rsidRPr="00E86BE9">
        <w:rPr>
          <w:rFonts w:ascii="Times New Roman" w:eastAsia="AdvTT5235d5a9+fb" w:hAnsi="Times New Roman" w:cs="Times New Roman"/>
          <w:kern w:val="0"/>
          <w:szCs w:val="21"/>
        </w:rPr>
        <w:t>fl</w:t>
      </w:r>
      <w:r w:rsidRPr="00E86BE9">
        <w:rPr>
          <w:rFonts w:ascii="Times New Roman" w:hAnsi="Times New Roman" w:cs="Times New Roman"/>
          <w:kern w:val="0"/>
          <w:szCs w:val="21"/>
        </w:rPr>
        <w:t>uids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vertAlign w:val="superscript"/>
        </w:rPr>
        <w:t>18</w:t>
      </w:r>
      <w:r w:rsidRPr="00E86BE9">
        <w:rPr>
          <w:rFonts w:ascii="Times New Roman" w:hAnsi="Times New Roman" w:cs="Times New Roman"/>
          <w:kern w:val="0"/>
          <w:szCs w:val="21"/>
        </w:rPr>
        <w:t>O</w:t>
      </w:r>
      <w:r w:rsidRPr="00E86BE9">
        <w:rPr>
          <w:rFonts w:ascii="Times New Roman" w:hAnsi="Times New Roman" w:cs="Times New Roman"/>
          <w:kern w:val="0"/>
          <w:szCs w:val="21"/>
          <w:vertAlign w:val="subscript"/>
        </w:rPr>
        <w:t>SMOW</w:t>
      </w:r>
      <w:r w:rsidRPr="00E86BE9">
        <w:rPr>
          <w:rFonts w:ascii="Times New Roman" w:hAnsi="Times New Roman" w:cs="Times New Roman"/>
          <w:kern w:val="0"/>
          <w:szCs w:val="21"/>
        </w:rPr>
        <w:t xml:space="preserve">) were calculated by </w:t>
      </w:r>
      <w:r w:rsidRPr="00E86BE9">
        <w:rPr>
          <w:rFonts w:ascii="Times New Roman" w:hAnsi="Times New Roman" w:cs="Times New Roman" w:hint="eastAsia"/>
          <w:kern w:val="0"/>
          <w:szCs w:val="21"/>
        </w:rPr>
        <w:t xml:space="preserve">the empirically derived relationship of </w:t>
      </w:r>
      <w:r w:rsidRPr="00E86BE9">
        <w:rPr>
          <w:rFonts w:ascii="Times New Roman" w:hAnsi="Times New Roman" w:cs="Times New Roman"/>
          <w:kern w:val="0"/>
          <w:szCs w:val="21"/>
        </w:rPr>
        <w:t>Kim and O’Neil (1997).</w:t>
      </w:r>
    </w:p>
    <w:p w14:paraId="0F35E5CC" w14:textId="77777777" w:rsidR="008E5C9D" w:rsidRPr="00E86BE9" w:rsidRDefault="00996D18" w:rsidP="0065036F">
      <w:pPr>
        <w:spacing w:line="360" w:lineRule="auto"/>
        <w:rPr>
          <w:rFonts w:ascii="Times New Roman" w:hAnsi="Times New Roman" w:cs="Times New Roman"/>
          <w:kern w:val="0"/>
          <w:szCs w:val="21"/>
        </w:rPr>
      </w:pPr>
      <w:r w:rsidRPr="00E86BE9">
        <w:rPr>
          <w:rFonts w:ascii="Times New Roman" w:hAnsi="Times New Roman" w:cs="Times New Roman"/>
          <w:kern w:val="0"/>
          <w:szCs w:val="21"/>
        </w:rPr>
        <w:t xml:space="preserve">A Carrara Marble was used as the standard for clumped isotope measurements in the </w:t>
      </w:r>
      <w:proofErr w:type="spellStart"/>
      <w:r w:rsidRPr="00E86BE9">
        <w:rPr>
          <w:rFonts w:ascii="Times New Roman" w:hAnsi="Times New Roman" w:cs="Times New Roman"/>
          <w:kern w:val="0"/>
          <w:szCs w:val="21"/>
        </w:rPr>
        <w:t>Tripati</w:t>
      </w:r>
      <w:proofErr w:type="spellEnd"/>
      <w:r w:rsidRPr="00E86BE9">
        <w:rPr>
          <w:rFonts w:ascii="Times New Roman" w:hAnsi="Times New Roman" w:cs="Times New Roman"/>
          <w:kern w:val="0"/>
          <w:szCs w:val="21"/>
        </w:rPr>
        <w:t xml:space="preserve"> laboratory, which yields a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rPr>
        <w:t>47 value of 0.3</w:t>
      </w:r>
      <w:r w:rsidRPr="00E86BE9">
        <w:rPr>
          <w:rFonts w:ascii="Times New Roman" w:hAnsi="Times New Roman" w:cs="Times New Roman" w:hint="eastAsia"/>
          <w:kern w:val="0"/>
          <w:szCs w:val="21"/>
        </w:rPr>
        <w:t>97</w:t>
      </w:r>
      <w:r w:rsidRPr="00E86BE9">
        <w:rPr>
          <w:rFonts w:ascii="Times New Roman" w:hAnsi="Times New Roman" w:cs="Times New Roman"/>
          <w:kern w:val="0"/>
          <w:szCs w:val="21"/>
        </w:rPr>
        <w:t xml:space="preserve">. The </w:t>
      </w:r>
      <w:r w:rsidRPr="00E86BE9">
        <w:rPr>
          <w:rFonts w:ascii="Times New Roman" w:hAnsi="Times New Roman" w:cs="Times New Roman" w:hint="eastAsia"/>
          <w:kern w:val="0"/>
          <w:szCs w:val="21"/>
        </w:rPr>
        <w:t>average</w:t>
      </w:r>
      <w:r w:rsidRPr="00E86BE9">
        <w:rPr>
          <w:rFonts w:ascii="Times New Roman" w:hAnsi="Times New Roman" w:cs="Times New Roman"/>
          <w:kern w:val="0"/>
          <w:szCs w:val="21"/>
        </w:rPr>
        <w:t xml:space="preserve"> reproducibility of this Carrara Marble standard is better than 0.1</w:t>
      </w:r>
      <w:r w:rsidRPr="00E86BE9">
        <w:rPr>
          <w:rFonts w:ascii="Times New Roman" w:eastAsia="AdvTT5235d5a9+20" w:hAnsi="Times New Roman" w:cs="Times New Roman"/>
          <w:kern w:val="0"/>
          <w:szCs w:val="21"/>
        </w:rPr>
        <w:t xml:space="preserve">‰ </w:t>
      </w:r>
      <w:r w:rsidRPr="00E86BE9">
        <w:rPr>
          <w:rFonts w:ascii="Times New Roman" w:hAnsi="Times New Roman" w:cs="Times New Roman"/>
          <w:kern w:val="0"/>
          <w:szCs w:val="21"/>
        </w:rPr>
        <w:t>(1</w:t>
      </w:r>
      <w:r w:rsidRPr="00E86BE9">
        <w:rPr>
          <w:rFonts w:ascii="Times New Roman" w:eastAsia="AdvTT5235d5a9+03" w:hAnsi="Times New Roman" w:cs="Times New Roman"/>
          <w:kern w:val="0"/>
          <w:szCs w:val="21"/>
        </w:rPr>
        <w:t>σ</w:t>
      </w:r>
      <w:r w:rsidRPr="00E86BE9">
        <w:rPr>
          <w:rFonts w:ascii="Times New Roman" w:hAnsi="Times New Roman" w:cs="Times New Roman"/>
          <w:kern w:val="0"/>
          <w:szCs w:val="21"/>
        </w:rPr>
        <w:t xml:space="preserve">) for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vertAlign w:val="superscript"/>
        </w:rPr>
        <w:t>18</w:t>
      </w:r>
      <w:r w:rsidRPr="00E86BE9">
        <w:rPr>
          <w:rFonts w:ascii="Times New Roman" w:hAnsi="Times New Roman" w:cs="Times New Roman"/>
          <w:kern w:val="0"/>
          <w:szCs w:val="21"/>
        </w:rPr>
        <w:t xml:space="preserve">O and </w:t>
      </w:r>
      <w:r w:rsidRPr="00E86BE9">
        <w:rPr>
          <w:rFonts w:ascii="Times New Roman" w:eastAsia="AdvTT5235d5a9+03" w:hAnsi="Times New Roman" w:cs="Times New Roman"/>
          <w:kern w:val="0"/>
          <w:szCs w:val="21"/>
        </w:rPr>
        <w:t>δ</w:t>
      </w:r>
      <w:r w:rsidRPr="00E86BE9">
        <w:rPr>
          <w:rFonts w:ascii="Times New Roman" w:hAnsi="Times New Roman" w:cs="Times New Roman"/>
          <w:kern w:val="0"/>
          <w:szCs w:val="21"/>
          <w:vertAlign w:val="superscript"/>
        </w:rPr>
        <w:t>13</w:t>
      </w:r>
      <w:r w:rsidRPr="00E86BE9">
        <w:rPr>
          <w:rFonts w:ascii="Times New Roman" w:hAnsi="Times New Roman" w:cs="Times New Roman"/>
          <w:kern w:val="0"/>
          <w:szCs w:val="21"/>
        </w:rPr>
        <w:t>C before standardization and better than 0.01</w:t>
      </w:r>
      <w:r w:rsidRPr="00E86BE9">
        <w:rPr>
          <w:rFonts w:ascii="Times New Roman" w:eastAsia="AdvTT5235d5a9+20" w:hAnsi="Times New Roman" w:cs="Times New Roman"/>
          <w:kern w:val="0"/>
          <w:szCs w:val="21"/>
        </w:rPr>
        <w:t xml:space="preserve">‰ </w:t>
      </w:r>
      <w:r w:rsidRPr="00E86BE9">
        <w:rPr>
          <w:rFonts w:ascii="Times New Roman" w:hAnsi="Times New Roman" w:cs="Times New Roman"/>
          <w:kern w:val="0"/>
          <w:szCs w:val="21"/>
        </w:rPr>
        <w:t>after standardization</w:t>
      </w:r>
    </w:p>
    <w:p w14:paraId="21BD88F2" w14:textId="77777777" w:rsidR="008E5C9D" w:rsidRPr="00E86BE9" w:rsidRDefault="008E5C9D"/>
    <w:p w14:paraId="7F3B6A7A" w14:textId="0BA99FF5" w:rsidR="004C5351" w:rsidRPr="00BE477A" w:rsidRDefault="00BE477A" w:rsidP="00BE477A">
      <w:pPr>
        <w:jc w:val="center"/>
        <w:rPr>
          <w:rFonts w:ascii="Times New Roman" w:hAnsi="Times New Roman" w:cs="Times New Roman"/>
          <w:b/>
          <w:bCs/>
          <w:kern w:val="0"/>
          <w:szCs w:val="21"/>
          <w:lang w:bidi="he-IL"/>
        </w:rPr>
      </w:pPr>
      <w:r>
        <w:rPr>
          <w:rFonts w:ascii="Times New Roman" w:hAnsi="Times New Roman" w:cs="Times New Roman"/>
          <w:b/>
          <w:bCs/>
          <w:kern w:val="0"/>
          <w:szCs w:val="21"/>
          <w:lang w:bidi="he-IL"/>
        </w:rPr>
        <w:t xml:space="preserve">12. </w:t>
      </w:r>
      <w:r w:rsidR="004C5351" w:rsidRPr="00BE477A">
        <w:rPr>
          <w:rFonts w:ascii="Times New Roman" w:hAnsi="Times New Roman" w:cs="Times New Roman"/>
          <w:b/>
          <w:bCs/>
          <w:kern w:val="0"/>
          <w:szCs w:val="21"/>
          <w:lang w:bidi="he-IL"/>
        </w:rPr>
        <w:t>R</w:t>
      </w:r>
      <w:r w:rsidR="004C5351" w:rsidRPr="00BE477A">
        <w:rPr>
          <w:rFonts w:ascii="Times New Roman" w:hAnsi="Times New Roman" w:cs="Times New Roman" w:hint="eastAsia"/>
          <w:b/>
          <w:bCs/>
          <w:kern w:val="0"/>
          <w:szCs w:val="21"/>
          <w:lang w:bidi="he-IL"/>
        </w:rPr>
        <w:t>eferences</w:t>
      </w:r>
    </w:p>
    <w:p w14:paraId="2570BDDD" w14:textId="21ADCE77"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kern w:val="0"/>
          <w:szCs w:val="21"/>
        </w:rPr>
      </w:pPr>
      <w:proofErr w:type="spellStart"/>
      <w:r w:rsidRPr="00E86BE9">
        <w:rPr>
          <w:rFonts w:ascii="Times New Roman" w:hAnsi="Times New Roman" w:cs="Times New Roman"/>
          <w:kern w:val="0"/>
          <w:szCs w:val="21"/>
        </w:rPr>
        <w:t>Baadsgard</w:t>
      </w:r>
      <w:proofErr w:type="spellEnd"/>
      <w:r w:rsidRPr="00E86BE9">
        <w:rPr>
          <w:rFonts w:ascii="Times New Roman" w:hAnsi="Times New Roman" w:cs="Times New Roman"/>
          <w:kern w:val="0"/>
          <w:szCs w:val="21"/>
        </w:rPr>
        <w:t xml:space="preserve"> H., 1987</w:t>
      </w:r>
      <w:r w:rsidR="00BE477A">
        <w:rPr>
          <w:rFonts w:ascii="Times New Roman" w:hAnsi="Times New Roman" w:cs="Times New Roman"/>
          <w:kern w:val="0"/>
          <w:szCs w:val="21"/>
        </w:rPr>
        <w:t>.</w:t>
      </w:r>
      <w:r w:rsidRPr="00E86BE9">
        <w:rPr>
          <w:rFonts w:ascii="Times New Roman" w:hAnsi="Times New Roman" w:cs="Times New Roman"/>
          <w:kern w:val="0"/>
          <w:szCs w:val="21"/>
        </w:rPr>
        <w:t xml:space="preserve"> Rb Sr and K Ca isotope systematics in minerals from potassium horizons in the prairie evaporite formation, Saskatchewan, Canada: Chemical Geology Isotope Geoence, v. 66, p.1</w:t>
      </w:r>
      <w:r w:rsidR="00BE477A">
        <w:rPr>
          <w:rFonts w:ascii="Times New Roman" w:hAnsi="Times New Roman" w:cs="Times New Roman"/>
          <w:szCs w:val="21"/>
          <w:shd w:val="clear" w:color="auto" w:fill="FFFFFF"/>
          <w:lang w:bidi="he-IL"/>
        </w:rPr>
        <w:t>-</w:t>
      </w:r>
      <w:r w:rsidRPr="00E86BE9">
        <w:rPr>
          <w:rFonts w:ascii="Times New Roman" w:hAnsi="Times New Roman" w:cs="Times New Roman"/>
          <w:kern w:val="0"/>
          <w:szCs w:val="21"/>
        </w:rPr>
        <w:t>15, doi:10.1016/0168-9622(87)90022-4.</w:t>
      </w:r>
    </w:p>
    <w:p w14:paraId="71307E5B" w14:textId="1D61DA68"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t xml:space="preserve">Dennis, K. J., H. P. </w:t>
      </w:r>
      <w:proofErr w:type="spellStart"/>
      <w:r w:rsidRPr="00E86BE9">
        <w:rPr>
          <w:rFonts w:ascii="Times New Roman" w:hAnsi="Times New Roman" w:cs="Times New Roman"/>
          <w:szCs w:val="21"/>
          <w:shd w:val="clear" w:color="auto" w:fill="FFFFFF"/>
        </w:rPr>
        <w:t>Affek</w:t>
      </w:r>
      <w:proofErr w:type="spellEnd"/>
      <w:r w:rsidRPr="00E86BE9">
        <w:rPr>
          <w:rFonts w:ascii="Times New Roman" w:hAnsi="Times New Roman" w:cs="Times New Roman"/>
          <w:szCs w:val="21"/>
          <w:shd w:val="clear" w:color="auto" w:fill="FFFFFF"/>
        </w:rPr>
        <w:t xml:space="preserve">, B. H. Passey, D. P. Schrag, and J. M. </w:t>
      </w:r>
      <w:proofErr w:type="gramStart"/>
      <w:r w:rsidRPr="00E86BE9">
        <w:rPr>
          <w:rFonts w:ascii="Times New Roman" w:hAnsi="Times New Roman" w:cs="Times New Roman"/>
          <w:szCs w:val="21"/>
          <w:shd w:val="clear" w:color="auto" w:fill="FFFFFF"/>
        </w:rPr>
        <w:t>Eiler,  2011</w:t>
      </w:r>
      <w:proofErr w:type="gramEnd"/>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Defining an absolute reference frame for ‘clumped’ isotope studies of CO</w:t>
      </w:r>
      <w:r w:rsidRPr="00E86BE9">
        <w:rPr>
          <w:rFonts w:ascii="Times New Roman" w:hAnsi="Times New Roman" w:cs="Times New Roman"/>
          <w:szCs w:val="21"/>
          <w:shd w:val="clear" w:color="auto" w:fill="FFFFFF"/>
          <w:vertAlign w:val="subscript"/>
        </w:rPr>
        <w:t>2</w:t>
      </w:r>
      <w:r w:rsidRPr="00E86BE9">
        <w:rPr>
          <w:rFonts w:ascii="Times New Roman" w:hAnsi="Times New Roman" w:cs="Times New Roman"/>
          <w:szCs w:val="21"/>
          <w:shd w:val="clear" w:color="auto" w:fill="FFFFFF"/>
          <w:lang w:bidi="he-IL"/>
        </w:rPr>
        <w:t>:</w:t>
      </w:r>
      <w:r w:rsidRPr="00E86BE9">
        <w:rPr>
          <w:rFonts w:ascii="Times New Roman" w:hAnsi="Times New Roman" w:cs="Times New Roman"/>
          <w:szCs w:val="21"/>
          <w:shd w:val="clear" w:color="auto" w:fill="FFFFFF"/>
        </w:rPr>
        <w:t xml:space="preserve"> </w:t>
      </w:r>
      <w:proofErr w:type="spellStart"/>
      <w:r w:rsidRPr="00E86BE9">
        <w:rPr>
          <w:rFonts w:ascii="Times New Roman" w:hAnsi="Times New Roman" w:cs="Times New Roman"/>
          <w:szCs w:val="21"/>
          <w:shd w:val="clear" w:color="auto" w:fill="FFFFFF"/>
        </w:rPr>
        <w:t>Geochimica</w:t>
      </w:r>
      <w:proofErr w:type="spellEnd"/>
      <w:r w:rsidRPr="00E86BE9">
        <w:rPr>
          <w:rFonts w:ascii="Times New Roman" w:hAnsi="Times New Roman" w:cs="Times New Roman"/>
          <w:szCs w:val="21"/>
          <w:shd w:val="clear" w:color="auto" w:fill="FFFFFF"/>
        </w:rPr>
        <w:t xml:space="preserve"> et </w:t>
      </w:r>
      <w:proofErr w:type="spellStart"/>
      <w:r w:rsidRPr="00E86BE9">
        <w:rPr>
          <w:rFonts w:ascii="Times New Roman" w:hAnsi="Times New Roman" w:cs="Times New Roman"/>
          <w:szCs w:val="21"/>
          <w:shd w:val="clear" w:color="auto" w:fill="FFFFFF"/>
        </w:rPr>
        <w:t>Cosmochimica</w:t>
      </w:r>
      <w:proofErr w:type="spellEnd"/>
      <w:r w:rsidRPr="00E86BE9">
        <w:rPr>
          <w:rFonts w:ascii="Times New Roman" w:hAnsi="Times New Roman" w:cs="Times New Roman"/>
          <w:szCs w:val="21"/>
          <w:shd w:val="clear" w:color="auto" w:fill="FFFFFF"/>
        </w:rPr>
        <w:t xml:space="preserve"> Acta, v. 75, p. 7117</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7131, </w:t>
      </w:r>
      <w:proofErr w:type="gramStart"/>
      <w:r w:rsidRPr="00E86BE9">
        <w:rPr>
          <w:rFonts w:ascii="Times New Roman" w:hAnsi="Times New Roman" w:cs="Times New Roman"/>
          <w:szCs w:val="21"/>
          <w:shd w:val="clear" w:color="auto" w:fill="FFFFFF"/>
        </w:rPr>
        <w:t>doi:10.1016/j.gca</w:t>
      </w:r>
      <w:proofErr w:type="gramEnd"/>
      <w:r w:rsidRPr="00E86BE9">
        <w:rPr>
          <w:rFonts w:ascii="Times New Roman" w:hAnsi="Times New Roman" w:cs="Times New Roman"/>
          <w:szCs w:val="21"/>
          <w:shd w:val="clear" w:color="auto" w:fill="FFFFFF"/>
        </w:rPr>
        <w:t>.2011.09.025</w:t>
      </w:r>
      <w:r w:rsidR="00BE477A">
        <w:rPr>
          <w:rFonts w:ascii="Times New Roman" w:hAnsi="Times New Roman" w:cs="Times New Roman"/>
          <w:szCs w:val="21"/>
          <w:shd w:val="clear" w:color="auto" w:fill="FFFFFF"/>
        </w:rPr>
        <w:t>.</w:t>
      </w:r>
    </w:p>
    <w:p w14:paraId="6C6C564D" w14:textId="646516F9"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proofErr w:type="spellStart"/>
      <w:r w:rsidRPr="00E86BE9">
        <w:rPr>
          <w:rFonts w:ascii="Times New Roman" w:hAnsi="Times New Roman" w:cs="Times New Roman"/>
          <w:szCs w:val="21"/>
          <w:shd w:val="clear" w:color="auto" w:fill="FFFFFF"/>
        </w:rPr>
        <w:t>Horstwood</w:t>
      </w:r>
      <w:proofErr w:type="spellEnd"/>
      <w:r w:rsidRPr="00E86BE9">
        <w:rPr>
          <w:rFonts w:ascii="Times New Roman" w:hAnsi="Times New Roman" w:cs="Times New Roman"/>
          <w:szCs w:val="21"/>
          <w:shd w:val="clear" w:color="auto" w:fill="FFFFFF"/>
        </w:rPr>
        <w:t xml:space="preserve">, M. S. A., J. </w:t>
      </w:r>
      <w:proofErr w:type="spellStart"/>
      <w:r w:rsidRPr="00E86BE9">
        <w:rPr>
          <w:rFonts w:ascii="Times New Roman" w:hAnsi="Times New Roman" w:cs="Times New Roman"/>
          <w:szCs w:val="21"/>
          <w:shd w:val="clear" w:color="auto" w:fill="FFFFFF"/>
        </w:rPr>
        <w:t>Košler</w:t>
      </w:r>
      <w:proofErr w:type="spellEnd"/>
      <w:r w:rsidRPr="00E86BE9">
        <w:rPr>
          <w:rFonts w:ascii="Times New Roman" w:hAnsi="Times New Roman" w:cs="Times New Roman"/>
          <w:szCs w:val="21"/>
          <w:shd w:val="clear" w:color="auto" w:fill="FFFFFF"/>
        </w:rPr>
        <w:t xml:space="preserve">, G. Gehrels, S. E. Jackson, N. M. McLean, C. Paton, N. J. Pearson, K. </w:t>
      </w:r>
      <w:proofErr w:type="spellStart"/>
      <w:r w:rsidRPr="00E86BE9">
        <w:rPr>
          <w:rFonts w:ascii="Times New Roman" w:hAnsi="Times New Roman" w:cs="Times New Roman"/>
          <w:szCs w:val="21"/>
          <w:shd w:val="clear" w:color="auto" w:fill="FFFFFF"/>
        </w:rPr>
        <w:t>Sircombe</w:t>
      </w:r>
      <w:proofErr w:type="spellEnd"/>
      <w:r w:rsidRPr="00E86BE9">
        <w:rPr>
          <w:rFonts w:ascii="Times New Roman" w:hAnsi="Times New Roman" w:cs="Times New Roman"/>
          <w:szCs w:val="21"/>
          <w:shd w:val="clear" w:color="auto" w:fill="FFFFFF"/>
        </w:rPr>
        <w:t>, P. Sylvester, P. Vermeesch, J. F. Bowring, D. J. Condon, and B. Schoene, 2016</w:t>
      </w:r>
      <w:r w:rsidR="00BE477A">
        <w:rPr>
          <w:rFonts w:ascii="Times New Roman" w:hAnsi="Times New Roman" w:cs="Times New Roman"/>
          <w:szCs w:val="21"/>
          <w:shd w:val="clear" w:color="auto" w:fill="FFFFFF"/>
        </w:rPr>
        <w:t xml:space="preserve">. </w:t>
      </w:r>
      <w:r w:rsidRPr="00E86BE9">
        <w:rPr>
          <w:rFonts w:ascii="Times New Roman" w:hAnsi="Times New Roman" w:cs="Times New Roman"/>
          <w:szCs w:val="21"/>
          <w:shd w:val="clear" w:color="auto" w:fill="FFFFFF"/>
        </w:rPr>
        <w:t>Community-derived standards for LA-ICP-MS U-(Th</w:t>
      </w:r>
      <w:proofErr w:type="gramStart"/>
      <w:r w:rsidRPr="00E86BE9">
        <w:rPr>
          <w:rFonts w:ascii="Times New Roman" w:hAnsi="Times New Roman" w:cs="Times New Roman"/>
          <w:szCs w:val="21"/>
          <w:shd w:val="clear" w:color="auto" w:fill="FFFFFF"/>
        </w:rPr>
        <w:t>-)Pb</w:t>
      </w:r>
      <w:proofErr w:type="gramEnd"/>
      <w:r w:rsidRPr="00E86BE9">
        <w:rPr>
          <w:rFonts w:ascii="Times New Roman" w:hAnsi="Times New Roman" w:cs="Times New Roman"/>
          <w:szCs w:val="21"/>
          <w:shd w:val="clear" w:color="auto" w:fill="FFFFFF"/>
        </w:rPr>
        <w:t xml:space="preserve"> geochronology—uncertainty propagation, age interpretation and data reporting</w:t>
      </w:r>
      <w:r w:rsidRPr="00E86BE9">
        <w:rPr>
          <w:rFonts w:ascii="Times New Roman" w:hAnsi="Times New Roman" w:cs="Times New Roman"/>
          <w:szCs w:val="21"/>
          <w:shd w:val="clear" w:color="auto" w:fill="FFFFFF"/>
          <w:lang w:bidi="he-IL"/>
        </w:rPr>
        <w:t>:</w:t>
      </w:r>
      <w:r w:rsidRPr="00E86BE9">
        <w:rPr>
          <w:rFonts w:ascii="Times New Roman" w:hAnsi="Times New Roman" w:cs="Times New Roman"/>
          <w:szCs w:val="21"/>
          <w:shd w:val="clear" w:color="auto" w:fill="FFFFFF"/>
        </w:rPr>
        <w:t xml:space="preserve"> </w:t>
      </w:r>
      <w:proofErr w:type="spellStart"/>
      <w:r w:rsidRPr="00E86BE9">
        <w:rPr>
          <w:rFonts w:ascii="Times New Roman" w:hAnsi="Times New Roman" w:cs="Times New Roman"/>
          <w:szCs w:val="21"/>
          <w:shd w:val="clear" w:color="auto" w:fill="FFFFFF"/>
        </w:rPr>
        <w:t>Geostand</w:t>
      </w:r>
      <w:proofErr w:type="spellEnd"/>
      <w:r w:rsidRPr="00E86BE9">
        <w:rPr>
          <w:rFonts w:ascii="Times New Roman" w:hAnsi="Times New Roman" w:cs="Times New Roman"/>
          <w:szCs w:val="21"/>
          <w:shd w:val="clear" w:color="auto" w:fill="FFFFFF"/>
        </w:rPr>
        <w:t xml:space="preserve"> </w:t>
      </w:r>
      <w:proofErr w:type="spellStart"/>
      <w:r w:rsidRPr="00E86BE9">
        <w:rPr>
          <w:rFonts w:ascii="Times New Roman" w:hAnsi="Times New Roman" w:cs="Times New Roman"/>
          <w:szCs w:val="21"/>
          <w:shd w:val="clear" w:color="auto" w:fill="FFFFFF"/>
        </w:rPr>
        <w:t>Geoanal</w:t>
      </w:r>
      <w:proofErr w:type="spellEnd"/>
      <w:r w:rsidRPr="00E86BE9">
        <w:rPr>
          <w:rFonts w:ascii="Times New Roman" w:hAnsi="Times New Roman" w:cs="Times New Roman"/>
          <w:szCs w:val="21"/>
          <w:shd w:val="clear" w:color="auto" w:fill="FFFFFF"/>
        </w:rPr>
        <w:t xml:space="preserve"> Res., v. 40, no. 3, p. 311</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332, doi:10.1111/j.1751-908X.2016.00379.x.</w:t>
      </w:r>
    </w:p>
    <w:p w14:paraId="1337C1E2" w14:textId="6C0ED19B"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t>Kim, S.T., and J.R. O'Neil, 1997</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Equilibrium and nonequilibrium oxygen isotope effects in synthetic carbonates: </w:t>
      </w:r>
      <w:proofErr w:type="spellStart"/>
      <w:r w:rsidRPr="00E86BE9">
        <w:rPr>
          <w:rFonts w:ascii="Times New Roman" w:hAnsi="Times New Roman" w:cs="Times New Roman"/>
          <w:szCs w:val="21"/>
          <w:shd w:val="clear" w:color="auto" w:fill="FFFFFF"/>
        </w:rPr>
        <w:t>Geochimica</w:t>
      </w:r>
      <w:proofErr w:type="spellEnd"/>
      <w:r w:rsidRPr="00E86BE9">
        <w:rPr>
          <w:rFonts w:ascii="Times New Roman" w:hAnsi="Times New Roman" w:cs="Times New Roman"/>
          <w:szCs w:val="21"/>
          <w:shd w:val="clear" w:color="auto" w:fill="FFFFFF"/>
        </w:rPr>
        <w:t xml:space="preserve"> et </w:t>
      </w:r>
      <w:proofErr w:type="spellStart"/>
      <w:r w:rsidRPr="00E86BE9">
        <w:rPr>
          <w:rFonts w:ascii="Times New Roman" w:hAnsi="Times New Roman" w:cs="Times New Roman"/>
          <w:szCs w:val="21"/>
          <w:shd w:val="clear" w:color="auto" w:fill="FFFFFF"/>
        </w:rPr>
        <w:t>Cosmochimica</w:t>
      </w:r>
      <w:proofErr w:type="spellEnd"/>
      <w:r w:rsidRPr="00E86BE9">
        <w:rPr>
          <w:rFonts w:ascii="Times New Roman" w:hAnsi="Times New Roman" w:cs="Times New Roman"/>
          <w:szCs w:val="21"/>
          <w:shd w:val="clear" w:color="auto" w:fill="FFFFFF"/>
        </w:rPr>
        <w:t xml:space="preserve"> Acta, v. 61, p. 3461</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3475. </w:t>
      </w:r>
      <w:proofErr w:type="spellStart"/>
      <w:r w:rsidRPr="00E86BE9">
        <w:rPr>
          <w:rFonts w:ascii="Times New Roman" w:hAnsi="Times New Roman" w:cs="Times New Roman"/>
          <w:szCs w:val="21"/>
          <w:shd w:val="clear" w:color="auto" w:fill="FFFFFF"/>
        </w:rPr>
        <w:t>doi</w:t>
      </w:r>
      <w:proofErr w:type="spellEnd"/>
      <w:r w:rsidRPr="00E86BE9">
        <w:rPr>
          <w:rFonts w:ascii="Times New Roman" w:hAnsi="Times New Roman" w:cs="Times New Roman"/>
          <w:szCs w:val="21"/>
          <w:shd w:val="clear" w:color="auto" w:fill="FFFFFF"/>
        </w:rPr>
        <w:t>: 10.1016/ S0016-7037(97)00169-5</w:t>
      </w:r>
    </w:p>
    <w:p w14:paraId="5D15C2F5" w14:textId="659BB688"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proofErr w:type="spellStart"/>
      <w:r w:rsidRPr="00E86BE9">
        <w:rPr>
          <w:rFonts w:ascii="Times New Roman" w:hAnsi="Times New Roman" w:cs="Times New Roman"/>
          <w:szCs w:val="21"/>
          <w:shd w:val="clear" w:color="auto" w:fill="FFFFFF"/>
        </w:rPr>
        <w:t>Loyd</w:t>
      </w:r>
      <w:proofErr w:type="spellEnd"/>
      <w:r w:rsidRPr="00E86BE9">
        <w:rPr>
          <w:rFonts w:ascii="Times New Roman" w:hAnsi="Times New Roman" w:cs="Times New Roman"/>
          <w:szCs w:val="21"/>
          <w:shd w:val="clear" w:color="auto" w:fill="FFFFFF"/>
        </w:rPr>
        <w:t xml:space="preserve">, S. J., J. A. D. Dickson, P. A. Scholle, and A. K. </w:t>
      </w:r>
      <w:proofErr w:type="spellStart"/>
      <w:r w:rsidRPr="00E86BE9">
        <w:rPr>
          <w:rFonts w:ascii="Times New Roman" w:hAnsi="Times New Roman" w:cs="Times New Roman"/>
          <w:szCs w:val="21"/>
          <w:shd w:val="clear" w:color="auto" w:fill="FFFFFF"/>
        </w:rPr>
        <w:t>Tripati</w:t>
      </w:r>
      <w:proofErr w:type="spellEnd"/>
      <w:r w:rsidRPr="00E86BE9">
        <w:rPr>
          <w:rFonts w:ascii="Times New Roman" w:hAnsi="Times New Roman" w:cs="Times New Roman"/>
          <w:szCs w:val="21"/>
          <w:shd w:val="clear" w:color="auto" w:fill="FFFFFF"/>
        </w:rPr>
        <w:t>, 2013</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Extensive, uplift-related and non-fault-controlled spar precipitation in the Permian Capitan Formation: Sedimentary Geology, v. 298, p. 17</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27, </w:t>
      </w:r>
      <w:proofErr w:type="gramStart"/>
      <w:r w:rsidRPr="00E86BE9">
        <w:rPr>
          <w:rFonts w:ascii="Times New Roman" w:hAnsi="Times New Roman" w:cs="Times New Roman"/>
          <w:szCs w:val="21"/>
          <w:shd w:val="clear" w:color="auto" w:fill="FFFFFF"/>
        </w:rPr>
        <w:t>doi:10.1016/j.sedgeo</w:t>
      </w:r>
      <w:proofErr w:type="gramEnd"/>
      <w:r w:rsidRPr="00E86BE9">
        <w:rPr>
          <w:rFonts w:ascii="Times New Roman" w:hAnsi="Times New Roman" w:cs="Times New Roman"/>
          <w:szCs w:val="21"/>
          <w:shd w:val="clear" w:color="auto" w:fill="FFFFFF"/>
        </w:rPr>
        <w:t>.2013.10.001.</w:t>
      </w:r>
    </w:p>
    <w:p w14:paraId="26E51243" w14:textId="71DC78D8"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t>Ludwig, K. R., 2012</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User’s manual for </w:t>
      </w:r>
      <w:proofErr w:type="spellStart"/>
      <w:r w:rsidRPr="00E86BE9">
        <w:rPr>
          <w:rFonts w:ascii="Times New Roman" w:hAnsi="Times New Roman" w:cs="Times New Roman"/>
          <w:szCs w:val="21"/>
          <w:shd w:val="clear" w:color="auto" w:fill="FFFFFF"/>
        </w:rPr>
        <w:t>isoplot</w:t>
      </w:r>
      <w:proofErr w:type="spellEnd"/>
      <w:r w:rsidRPr="00E86BE9">
        <w:rPr>
          <w:rFonts w:ascii="Times New Roman" w:hAnsi="Times New Roman" w:cs="Times New Roman"/>
          <w:szCs w:val="21"/>
          <w:shd w:val="clear" w:color="auto" w:fill="FFFFFF"/>
        </w:rPr>
        <w:t xml:space="preserve"> 3.75-4.15, Berkeley Geochronology Center.</w:t>
      </w:r>
    </w:p>
    <w:p w14:paraId="3CFA6556" w14:textId="6A420B0D"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t xml:space="preserve">Passey, B. H., N. E. Levin, T. E. </w:t>
      </w:r>
      <w:proofErr w:type="spellStart"/>
      <w:r w:rsidRPr="00E86BE9">
        <w:rPr>
          <w:rFonts w:ascii="Times New Roman" w:hAnsi="Times New Roman" w:cs="Times New Roman"/>
          <w:szCs w:val="21"/>
          <w:shd w:val="clear" w:color="auto" w:fill="FFFFFF"/>
        </w:rPr>
        <w:t>Cerling</w:t>
      </w:r>
      <w:proofErr w:type="spellEnd"/>
      <w:r w:rsidRPr="00E86BE9">
        <w:rPr>
          <w:rFonts w:ascii="Times New Roman" w:hAnsi="Times New Roman" w:cs="Times New Roman"/>
          <w:szCs w:val="21"/>
          <w:shd w:val="clear" w:color="auto" w:fill="FFFFFF"/>
        </w:rPr>
        <w:t>, F. H. Brown, and J. M. Eiler, 2010</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High temperature-environments of human evolution in East Africa based on bond ordering in paleosol carbonates: Proceedings of the National Academy of Sciences, v. 107, p. 11245</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11249, doi:10.1073/pnas.1001824107.</w:t>
      </w:r>
    </w:p>
    <w:p w14:paraId="6D0E7BA4" w14:textId="1CD524D5"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lastRenderedPageBreak/>
        <w:t xml:space="preserve">Roberts, N. M. W., E. T. Rasbury, R. R. Parrish, C. J. Smith, M. S. A. </w:t>
      </w:r>
      <w:proofErr w:type="spellStart"/>
      <w:r w:rsidRPr="00E86BE9">
        <w:rPr>
          <w:rFonts w:ascii="Times New Roman" w:hAnsi="Times New Roman" w:cs="Times New Roman"/>
          <w:szCs w:val="21"/>
          <w:shd w:val="clear" w:color="auto" w:fill="FFFFFF"/>
        </w:rPr>
        <w:t>Horstwood</w:t>
      </w:r>
      <w:proofErr w:type="spellEnd"/>
      <w:r w:rsidRPr="00E86BE9">
        <w:rPr>
          <w:rFonts w:ascii="Times New Roman" w:hAnsi="Times New Roman" w:cs="Times New Roman"/>
          <w:szCs w:val="21"/>
          <w:shd w:val="clear" w:color="auto" w:fill="FFFFFF"/>
        </w:rPr>
        <w:t>, and D. J. Condon, 2017</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WC-1: A calcite reference material for LA-ICP-MS U-Pb geochronology: Geochemistry, Geophysics, Geosystems, v. 18, p. 2807</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2814, doi:10.1002/ 2016GC006784.</w:t>
      </w:r>
    </w:p>
    <w:p w14:paraId="5FAA35E4" w14:textId="7B78285C" w:rsidR="00F33003" w:rsidRPr="00E86BE9" w:rsidRDefault="00F33003" w:rsidP="00BE477A">
      <w:pPr>
        <w:autoSpaceDE w:val="0"/>
        <w:autoSpaceDN w:val="0"/>
        <w:adjustRightInd w:val="0"/>
        <w:spacing w:line="360" w:lineRule="auto"/>
        <w:ind w:left="420" w:hangingChars="200" w:hanging="420"/>
        <w:rPr>
          <w:rFonts w:ascii="Times New Roman" w:hAnsi="Times New Roman" w:cs="Times New Roman"/>
          <w:szCs w:val="21"/>
          <w:shd w:val="clear" w:color="auto" w:fill="FFFFFF"/>
        </w:rPr>
      </w:pPr>
      <w:r w:rsidRPr="00E86BE9">
        <w:rPr>
          <w:rFonts w:ascii="Times New Roman" w:hAnsi="Times New Roman" w:cs="Times New Roman"/>
          <w:szCs w:val="21"/>
          <w:shd w:val="clear" w:color="auto" w:fill="FFFFFF"/>
        </w:rPr>
        <w:t>Shen, A. j., A. P. Hu, T. Cheng, F. Liang, W. Q. Pan, Y. X. Feng, and J. X. Zhao, 2019</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 xml:space="preserve"> Laser ablation in situ U-Pb dating and its application to diagenesis-porosity evolution of carbonate reservoirs: Petroleum Exploration and Development, v. 46, p. 1062</w:t>
      </w:r>
      <w:r w:rsidR="00BE477A">
        <w:rPr>
          <w:rFonts w:ascii="Times New Roman" w:hAnsi="Times New Roman" w:cs="Times New Roman"/>
          <w:szCs w:val="21"/>
          <w:shd w:val="clear" w:color="auto" w:fill="FFFFFF"/>
        </w:rPr>
        <w:t>-</w:t>
      </w:r>
      <w:r w:rsidRPr="00E86BE9">
        <w:rPr>
          <w:rFonts w:ascii="Times New Roman" w:hAnsi="Times New Roman" w:cs="Times New Roman"/>
          <w:szCs w:val="21"/>
          <w:shd w:val="clear" w:color="auto" w:fill="FFFFFF"/>
        </w:rPr>
        <w:t>1074, doi:10.1016/S1876-3804(19)60268-5.</w:t>
      </w:r>
    </w:p>
    <w:p w14:paraId="1FE25AA6" w14:textId="77777777" w:rsidR="00F33003" w:rsidRPr="00BE477A" w:rsidRDefault="00F33003" w:rsidP="00F33003">
      <w:pPr>
        <w:autoSpaceDE w:val="0"/>
        <w:autoSpaceDN w:val="0"/>
        <w:adjustRightInd w:val="0"/>
        <w:spacing w:line="480" w:lineRule="auto"/>
        <w:ind w:left="420" w:hangingChars="200" w:hanging="420"/>
        <w:jc w:val="left"/>
      </w:pPr>
    </w:p>
    <w:sectPr w:rsidR="00F33003" w:rsidRPr="00BE477A">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E2BAC" w14:textId="77777777" w:rsidR="00481DBF" w:rsidRDefault="00481DBF" w:rsidP="00B93053">
      <w:r>
        <w:separator/>
      </w:r>
    </w:p>
  </w:endnote>
  <w:endnote w:type="continuationSeparator" w:id="0">
    <w:p w14:paraId="66A3C78A" w14:textId="77777777" w:rsidR="00481DBF" w:rsidRDefault="00481DBF" w:rsidP="00B9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dvTT5235d5a9+fb">
    <w:altName w:val="等线"/>
    <w:charset w:val="86"/>
    <w:family w:val="auto"/>
    <w:pitch w:val="default"/>
    <w:sig w:usb0="00000000" w:usb1="00000000" w:usb2="00000010" w:usb3="00000000" w:csb0="00040000" w:csb1="00000000"/>
  </w:font>
  <w:font w:name="AdvTT5235d5a9+20">
    <w:altName w:val="等线"/>
    <w:charset w:val="86"/>
    <w:family w:val="auto"/>
    <w:pitch w:val="default"/>
    <w:sig w:usb0="00000000" w:usb1="00000000" w:usb2="00000010" w:usb3="00000000" w:csb0="00040000" w:csb1="00000000"/>
  </w:font>
  <w:font w:name="AdvTT5235d5a9+03">
    <w:altName w:val="等线"/>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FE2E5" w14:textId="77777777" w:rsidR="00481DBF" w:rsidRDefault="00481DBF" w:rsidP="00B93053">
      <w:r>
        <w:separator/>
      </w:r>
    </w:p>
  </w:footnote>
  <w:footnote w:type="continuationSeparator" w:id="0">
    <w:p w14:paraId="79404871" w14:textId="77777777" w:rsidR="00481DBF" w:rsidRDefault="00481DBF" w:rsidP="00B93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F61FD"/>
    <w:multiLevelType w:val="hybridMultilevel"/>
    <w:tmpl w:val="1CA43E60"/>
    <w:lvl w:ilvl="0" w:tplc="9788A7B4">
      <w:start w:val="5"/>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BC230BC"/>
    <w:multiLevelType w:val="multilevel"/>
    <w:tmpl w:val="6DDC26E0"/>
    <w:lvl w:ilvl="0">
      <w:start w:val="1"/>
      <w:numFmt w:val="decimal"/>
      <w:suff w:val="space"/>
      <w:lvlText w:val="%1."/>
      <w:lvlJc w:val="left"/>
      <w:rPr>
        <w:b/>
        <w:bCs/>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2" w15:restartNumberingAfterBreak="0">
    <w:nsid w:val="344F7306"/>
    <w:multiLevelType w:val="hybridMultilevel"/>
    <w:tmpl w:val="7C18051E"/>
    <w:lvl w:ilvl="0" w:tplc="BB02E8F4">
      <w:start w:val="5"/>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572810468">
    <w:abstractNumId w:val="1"/>
  </w:num>
  <w:num w:numId="2" w16cid:durableId="595483021">
    <w:abstractNumId w:val="0"/>
  </w:num>
  <w:num w:numId="3" w16cid:durableId="1964847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0"/>
  <w:doNotDisplayPageBoundaries/>
  <w:bordersDoNotSurroundHeader/>
  <w:bordersDoNotSurroundFooter/>
  <w:proofState w:spelling="clean" w:grammar="clean"/>
  <w:defaultTabStop w:val="420"/>
  <w:drawingGridVerticalSpacing w:val="159"/>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172A27"/>
    <w:rsid w:val="002C5FC0"/>
    <w:rsid w:val="003030C8"/>
    <w:rsid w:val="00481DBF"/>
    <w:rsid w:val="004C5351"/>
    <w:rsid w:val="0065036F"/>
    <w:rsid w:val="00826ED8"/>
    <w:rsid w:val="008506EB"/>
    <w:rsid w:val="008E5C9D"/>
    <w:rsid w:val="0092498E"/>
    <w:rsid w:val="00996D18"/>
    <w:rsid w:val="00A27112"/>
    <w:rsid w:val="00B93053"/>
    <w:rsid w:val="00BE4353"/>
    <w:rsid w:val="00BE477A"/>
    <w:rsid w:val="00C04A96"/>
    <w:rsid w:val="00CC46C1"/>
    <w:rsid w:val="00E86BE9"/>
    <w:rsid w:val="00ED1C3B"/>
    <w:rsid w:val="00F33003"/>
    <w:rsid w:val="20706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55C17B"/>
  <w15:docId w15:val="{1ECEC67B-3D98-4771-8D8B-BCEB18B7C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qFormat/>
    <w:pPr>
      <w:ind w:firstLineChars="200" w:firstLine="420"/>
    </w:pPr>
  </w:style>
  <w:style w:type="paragraph" w:styleId="a4">
    <w:name w:val="Balloon Text"/>
    <w:basedOn w:val="a"/>
    <w:link w:val="a5"/>
    <w:rsid w:val="00B93053"/>
    <w:rPr>
      <w:sz w:val="18"/>
      <w:szCs w:val="18"/>
    </w:rPr>
  </w:style>
  <w:style w:type="character" w:customStyle="1" w:styleId="a5">
    <w:name w:val="批注框文本 字符"/>
    <w:basedOn w:val="a0"/>
    <w:link w:val="a4"/>
    <w:rsid w:val="00B93053"/>
    <w:rPr>
      <w:kern w:val="2"/>
      <w:sz w:val="18"/>
      <w:szCs w:val="18"/>
    </w:rPr>
  </w:style>
  <w:style w:type="paragraph" w:styleId="a6">
    <w:name w:val="header"/>
    <w:basedOn w:val="a"/>
    <w:link w:val="a7"/>
    <w:rsid w:val="00B9305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93053"/>
    <w:rPr>
      <w:kern w:val="2"/>
      <w:sz w:val="18"/>
      <w:szCs w:val="18"/>
    </w:rPr>
  </w:style>
  <w:style w:type="paragraph" w:styleId="a8">
    <w:name w:val="footer"/>
    <w:basedOn w:val="a"/>
    <w:link w:val="a9"/>
    <w:rsid w:val="00B93053"/>
    <w:pPr>
      <w:tabs>
        <w:tab w:val="center" w:pos="4153"/>
        <w:tab w:val="right" w:pos="8306"/>
      </w:tabs>
      <w:snapToGrid w:val="0"/>
      <w:jc w:val="left"/>
    </w:pPr>
    <w:rPr>
      <w:sz w:val="18"/>
      <w:szCs w:val="18"/>
    </w:rPr>
  </w:style>
  <w:style w:type="character" w:customStyle="1" w:styleId="a9">
    <w:name w:val="页脚 字符"/>
    <w:basedOn w:val="a0"/>
    <w:link w:val="a8"/>
    <w:rsid w:val="00B93053"/>
    <w:rPr>
      <w:kern w:val="2"/>
      <w:sz w:val="18"/>
      <w:szCs w:val="18"/>
    </w:rPr>
  </w:style>
  <w:style w:type="character" w:styleId="aa">
    <w:name w:val="Hyperlink"/>
    <w:basedOn w:val="a0"/>
    <w:uiPriority w:val="99"/>
    <w:semiHidden/>
    <w:unhideWhenUsed/>
    <w:rsid w:val="0092498E"/>
    <w:rPr>
      <w:color w:val="0000FF"/>
      <w:u w:val="single"/>
    </w:rPr>
  </w:style>
  <w:style w:type="paragraph" w:styleId="ab">
    <w:name w:val="List Paragraph"/>
    <w:basedOn w:val="a"/>
    <w:uiPriority w:val="99"/>
    <w:unhideWhenUsed/>
    <w:rsid w:val="008506E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2458</Words>
  <Characters>14017</Characters>
  <Application>Microsoft Office Word</Application>
  <DocSecurity>0</DocSecurity>
  <Lines>116</Lines>
  <Paragraphs>32</Paragraphs>
  <ScaleCrop>false</ScaleCrop>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姜 磊</cp:lastModifiedBy>
  <cp:revision>13</cp:revision>
  <dcterms:created xsi:type="dcterms:W3CDTF">2014-10-29T12:08:00Z</dcterms:created>
  <dcterms:modified xsi:type="dcterms:W3CDTF">2023-04-13T09:30:00Z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